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7374" w:rsidRDefault="00587374" w:rsidP="00587374">
      <w:pPr>
        <w:autoSpaceDE w:val="0"/>
        <w:autoSpaceDN w:val="0"/>
        <w:adjustRightInd w:val="0"/>
        <w:spacing w:after="0" w:line="240" w:lineRule="auto"/>
        <w:rPr>
          <w:rFonts w:cstheme="minorHAnsi"/>
          <w:b/>
          <w:bCs/>
          <w:i/>
        </w:rPr>
      </w:pPr>
      <w:r>
        <w:rPr>
          <w:rFonts w:cstheme="minorHAnsi"/>
          <w:b/>
          <w:bCs/>
        </w:rPr>
        <w:t>2b4. RISK ADJUSTMENT/STRATIFICATION FOR OUTCOME OR RESOURCE USE MEASURES</w:t>
      </w:r>
      <w:r>
        <w:rPr>
          <w:rFonts w:cstheme="minorHAnsi"/>
          <w:bCs/>
        </w:rPr>
        <w:br/>
      </w:r>
      <w:r>
        <w:rPr>
          <w:rFonts w:cstheme="minorHAnsi"/>
          <w:b/>
          <w:bCs/>
          <w:i/>
          <w:highlight w:val="green"/>
        </w:rPr>
        <w:t xml:space="preserve">If not an intermediate or health outcome, or PRO-PM, or resource use measure, skip to section </w:t>
      </w:r>
      <w:hyperlink r:id="rId6" w:anchor="section2b5" w:history="1">
        <w:r>
          <w:rPr>
            <w:rStyle w:val="Hyperlink"/>
            <w:rFonts w:cstheme="minorHAnsi"/>
            <w:b/>
            <w:bCs/>
            <w:i/>
            <w:highlight w:val="green"/>
          </w:rPr>
          <w:t>2b5</w:t>
        </w:r>
      </w:hyperlink>
      <w:r>
        <w:rPr>
          <w:rFonts w:cstheme="minorHAnsi"/>
          <w:b/>
          <w:bCs/>
          <w:i/>
          <w:highlight w:val="green"/>
        </w:rPr>
        <w:t>.</w:t>
      </w:r>
    </w:p>
    <w:p w:rsidR="00587374" w:rsidRDefault="00587374" w:rsidP="00587374">
      <w:pPr>
        <w:autoSpaceDE w:val="0"/>
        <w:autoSpaceDN w:val="0"/>
        <w:adjustRightInd w:val="0"/>
        <w:spacing w:after="0" w:line="240" w:lineRule="auto"/>
        <w:rPr>
          <w:rFonts w:cstheme="minorHAnsi"/>
          <w:b/>
          <w:bCs/>
        </w:rPr>
      </w:pPr>
    </w:p>
    <w:p w:rsidR="00587374" w:rsidRDefault="00587374" w:rsidP="00587374">
      <w:pPr>
        <w:autoSpaceDE w:val="0"/>
        <w:autoSpaceDN w:val="0"/>
        <w:adjustRightInd w:val="0"/>
        <w:spacing w:after="0" w:line="240" w:lineRule="auto"/>
        <w:rPr>
          <w:rFonts w:cstheme="minorHAnsi"/>
          <w:b/>
          <w:bCs/>
        </w:rPr>
      </w:pPr>
      <w:r>
        <w:rPr>
          <w:rFonts w:cstheme="minorHAnsi"/>
          <w:b/>
          <w:bCs/>
        </w:rPr>
        <w:t xml:space="preserve">2b4.1. </w:t>
      </w:r>
      <w:proofErr w:type="gramStart"/>
      <w:r>
        <w:rPr>
          <w:rFonts w:cstheme="minorHAnsi"/>
          <w:b/>
          <w:bCs/>
        </w:rPr>
        <w:t>What</w:t>
      </w:r>
      <w:proofErr w:type="gramEnd"/>
      <w:r>
        <w:rPr>
          <w:rFonts w:cstheme="minorHAnsi"/>
          <w:b/>
          <w:bCs/>
        </w:rPr>
        <w:t xml:space="preserve"> method of controlling for differences in case mix is used?</w:t>
      </w:r>
    </w:p>
    <w:p w:rsidR="00587374" w:rsidRDefault="006F1260" w:rsidP="00587374">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Arial Unicode MS"/>
            <w14:uncheckedState w14:val="2610" w14:font="Arial Unicode MS"/>
          </w14:checkbox>
        </w:sdtPr>
        <w:sdtEndPr/>
        <w:sdtContent>
          <w:r w:rsidR="00587374">
            <w:rPr>
              <w:rFonts w:ascii="MS Gothic" w:eastAsia="MS Gothic" w:hAnsi="MS Gothic" w:cstheme="minorHAnsi" w:hint="eastAsia"/>
              <w:bCs/>
              <w:color w:val="0000FF"/>
            </w:rPr>
            <w:t>☐</w:t>
          </w:r>
        </w:sdtContent>
      </w:sdt>
      <w:r w:rsidR="00587374">
        <w:rPr>
          <w:rFonts w:eastAsia="MS Mincho" w:cstheme="minorHAnsi"/>
          <w:b/>
          <w:bCs/>
          <w:color w:val="0000FF"/>
        </w:rPr>
        <w:t xml:space="preserve"> </w:t>
      </w:r>
      <w:r w:rsidR="00587374">
        <w:rPr>
          <w:rFonts w:cstheme="minorHAnsi"/>
          <w:b/>
          <w:bCs/>
        </w:rPr>
        <w:t>No risk adjustment or stratification</w:t>
      </w:r>
    </w:p>
    <w:p w:rsidR="00587374" w:rsidRDefault="006F1260" w:rsidP="00587374">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Arial Unicode MS"/>
            <w14:uncheckedState w14:val="2610" w14:font="Arial Unicode MS"/>
          </w14:checkbox>
        </w:sdtPr>
        <w:sdtEndPr/>
        <w:sdtContent>
          <w:r w:rsidR="00587374">
            <w:rPr>
              <w:rFonts w:ascii="MS Gothic" w:eastAsia="MS Gothic" w:hAnsi="MS Gothic" w:cstheme="minorHAnsi" w:hint="eastAsia"/>
              <w:bCs/>
              <w:color w:val="0000FF"/>
            </w:rPr>
            <w:t>☒</w:t>
          </w:r>
        </w:sdtContent>
      </w:sdt>
      <w:r w:rsidR="00587374">
        <w:rPr>
          <w:rFonts w:cstheme="minorHAnsi"/>
          <w:bCs/>
          <w:color w:val="0000FF"/>
        </w:rPr>
        <w:t xml:space="preserve"> </w:t>
      </w:r>
      <w:r w:rsidR="00587374">
        <w:rPr>
          <w:rFonts w:cstheme="minorHAnsi"/>
          <w:b/>
          <w:bCs/>
        </w:rPr>
        <w:t xml:space="preserve">Statistical risk model </w:t>
      </w:r>
      <w:proofErr w:type="gramStart"/>
      <w:r w:rsidR="00587374">
        <w:rPr>
          <w:rFonts w:cstheme="minorHAnsi"/>
          <w:b/>
          <w:bCs/>
        </w:rPr>
        <w:t xml:space="preserve">with </w:t>
      </w:r>
      <w:r w:rsidR="00587374">
        <w:rPr>
          <w:rStyle w:val="Style4"/>
        </w:rPr>
        <w:t xml:space="preserve">1 </w:t>
      </w:r>
      <w:r w:rsidR="00587374">
        <w:rPr>
          <w:rFonts w:cstheme="minorHAnsi"/>
          <w:b/>
          <w:bCs/>
        </w:rPr>
        <w:t>risk factors</w:t>
      </w:r>
      <w:proofErr w:type="gramEnd"/>
    </w:p>
    <w:p w:rsidR="00587374" w:rsidRDefault="006F1260" w:rsidP="00587374">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Arial Unicode MS"/>
            <w14:uncheckedState w14:val="2610" w14:font="Arial Unicode MS"/>
          </w14:checkbox>
        </w:sdtPr>
        <w:sdtEndPr/>
        <w:sdtContent>
          <w:r w:rsidR="007733C1">
            <w:rPr>
              <w:rFonts w:ascii="Arial Unicode MS" w:hAnsi="Arial Unicode MS" w:cstheme="minorHAnsi"/>
              <w:bCs/>
              <w:color w:val="0000FF"/>
            </w:rPr>
            <w:t>☐</w:t>
          </w:r>
        </w:sdtContent>
      </w:sdt>
      <w:r w:rsidR="00587374">
        <w:rPr>
          <w:rFonts w:eastAsia="MS Mincho" w:cstheme="minorHAnsi"/>
          <w:b/>
          <w:bCs/>
          <w:color w:val="0000FF"/>
        </w:rPr>
        <w:t xml:space="preserve"> </w:t>
      </w:r>
      <w:r w:rsidR="00587374">
        <w:rPr>
          <w:rFonts w:cstheme="minorHAnsi"/>
          <w:b/>
          <w:bCs/>
        </w:rPr>
        <w:t xml:space="preserve">Stratification </w:t>
      </w:r>
      <w:proofErr w:type="gramStart"/>
      <w:r w:rsidR="00587374">
        <w:rPr>
          <w:rFonts w:cstheme="minorHAnsi"/>
          <w:b/>
          <w:bCs/>
        </w:rPr>
        <w:t xml:space="preserve">by </w:t>
      </w:r>
      <w:r w:rsidR="00587374">
        <w:rPr>
          <w:rStyle w:val="Style4"/>
        </w:rPr>
        <w:t xml:space="preserve"> </w:t>
      </w:r>
      <w:r w:rsidR="00587374">
        <w:rPr>
          <w:rFonts w:cstheme="minorHAnsi"/>
          <w:b/>
          <w:bCs/>
        </w:rPr>
        <w:t>risk</w:t>
      </w:r>
      <w:proofErr w:type="gramEnd"/>
      <w:r w:rsidR="00587374">
        <w:rPr>
          <w:rFonts w:cstheme="minorHAnsi"/>
          <w:b/>
          <w:bCs/>
        </w:rPr>
        <w:t xml:space="preserve"> categories</w:t>
      </w:r>
    </w:p>
    <w:p w:rsidR="00587374" w:rsidRDefault="006F1260" w:rsidP="00587374">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Arial Unicode MS"/>
            <w14:uncheckedState w14:val="2610" w14:font="Arial Unicode MS"/>
          </w14:checkbox>
        </w:sdtPr>
        <w:sdtEndPr/>
        <w:sdtContent>
          <w:r w:rsidR="00587374">
            <w:rPr>
              <w:rFonts w:ascii="MS Gothic" w:eastAsia="MS Gothic" w:hAnsi="MS Gothic" w:cstheme="minorHAnsi" w:hint="eastAsia"/>
              <w:bCs/>
              <w:color w:val="0000FF"/>
            </w:rPr>
            <w:t>☐</w:t>
          </w:r>
        </w:sdtContent>
      </w:sdt>
      <w:r w:rsidR="00587374">
        <w:rPr>
          <w:rFonts w:eastAsia="MS Mincho" w:cstheme="minorHAnsi"/>
          <w:b/>
          <w:bCs/>
          <w:color w:val="0000FF"/>
        </w:rPr>
        <w:t xml:space="preserve"> </w:t>
      </w:r>
      <w:r w:rsidR="00587374">
        <w:rPr>
          <w:rFonts w:cstheme="minorHAnsi"/>
          <w:b/>
          <w:bCs/>
        </w:rPr>
        <w:t xml:space="preserve">Other, </w:t>
      </w:r>
      <w:sdt>
        <w:sdtPr>
          <w:rPr>
            <w:rStyle w:val="Style1"/>
            <w:rFonts w:cstheme="minorHAnsi"/>
            <w:b/>
            <w:bCs/>
            <w:color w:val="auto"/>
          </w:rPr>
          <w:id w:val="-1471512333"/>
          <w:showingPlcHdr/>
          <w:text/>
        </w:sdtPr>
        <w:sdtEndPr>
          <w:rPr>
            <w:rStyle w:val="Style1"/>
          </w:rPr>
        </w:sdtEndPr>
        <w:sdtContent>
          <w:r w:rsidR="00587374">
            <w:rPr>
              <w:rStyle w:val="PlaceholderText"/>
            </w:rPr>
            <w:t>Click here to enter description</w:t>
          </w:r>
        </w:sdtContent>
      </w:sdt>
    </w:p>
    <w:p w:rsidR="00587374" w:rsidRDefault="00587374" w:rsidP="00587374">
      <w:pPr>
        <w:autoSpaceDE w:val="0"/>
        <w:autoSpaceDN w:val="0"/>
        <w:adjustRightInd w:val="0"/>
        <w:spacing w:after="0" w:line="240" w:lineRule="auto"/>
        <w:rPr>
          <w:rFonts w:cstheme="minorHAnsi"/>
          <w:b/>
          <w:bCs/>
        </w:rPr>
      </w:pPr>
    </w:p>
    <w:p w:rsidR="00587374" w:rsidRDefault="00587374" w:rsidP="00587374">
      <w:pPr>
        <w:autoSpaceDE w:val="0"/>
        <w:autoSpaceDN w:val="0"/>
        <w:adjustRightInd w:val="0"/>
        <w:spacing w:after="0" w:line="240" w:lineRule="auto"/>
        <w:rPr>
          <w:rFonts w:cstheme="minorHAnsi"/>
          <w:bCs/>
        </w:rPr>
      </w:pPr>
      <w:r>
        <w:rPr>
          <w:rFonts w:cstheme="minorHAnsi"/>
          <w:b/>
          <w:bCs/>
        </w:rPr>
        <w:t xml:space="preserve">2b4.2. </w:t>
      </w:r>
      <w:proofErr w:type="gramStart"/>
      <w:r>
        <w:rPr>
          <w:rFonts w:cstheme="minorHAnsi"/>
          <w:b/>
          <w:bCs/>
        </w:rPr>
        <w:t>If</w:t>
      </w:r>
      <w:proofErr w:type="gramEnd"/>
      <w:r>
        <w:rPr>
          <w:rFonts w:cstheme="minorHAnsi"/>
          <w:b/>
          <w:bCs/>
        </w:rPr>
        <w:t xml:space="preserve"> an outcome or resource use measure is </w:t>
      </w:r>
      <w:r>
        <w:rPr>
          <w:rFonts w:cstheme="minorHAnsi"/>
          <w:b/>
          <w:bCs/>
          <w:u w:val="single"/>
        </w:rPr>
        <w:t>not risk adjusted or stratified</w:t>
      </w:r>
      <w:r>
        <w:rPr>
          <w:rFonts w:cstheme="minorHAnsi"/>
          <w:b/>
          <w:bCs/>
        </w:rPr>
        <w:t xml:space="preserve">, provide </w:t>
      </w:r>
      <w:r>
        <w:rPr>
          <w:rFonts w:cstheme="minorHAnsi"/>
          <w:b/>
          <w:bCs/>
          <w:u w:val="single"/>
        </w:rPr>
        <w:t>rationale and analyses</w:t>
      </w:r>
      <w:r>
        <w:rPr>
          <w:rFonts w:cstheme="minorHAnsi"/>
          <w:b/>
          <w:bCs/>
        </w:rPr>
        <w:t xml:space="preserve"> to demonstrate that controlling for differences in patient characteristics (case mix) is not needed to achieve fair comparisons across measured entities</w:t>
      </w:r>
      <w:r>
        <w:rPr>
          <w:rFonts w:cstheme="minorHAnsi"/>
          <w:bCs/>
        </w:rPr>
        <w:t xml:space="preserve">. </w:t>
      </w:r>
      <w:r>
        <w:rPr>
          <w:rFonts w:cstheme="minorHAnsi"/>
          <w:bCs/>
        </w:rPr>
        <w:br/>
      </w:r>
    </w:p>
    <w:p w:rsidR="00587374" w:rsidRDefault="00587374" w:rsidP="00587374">
      <w:pPr>
        <w:pStyle w:val="ListParagraph"/>
        <w:autoSpaceDE w:val="0"/>
        <w:autoSpaceDN w:val="0"/>
        <w:adjustRightInd w:val="0"/>
        <w:spacing w:after="0" w:line="240" w:lineRule="auto"/>
        <w:ind w:left="360"/>
        <w:rPr>
          <w:rFonts w:cstheme="minorHAnsi"/>
          <w:bCs/>
        </w:rPr>
      </w:pPr>
    </w:p>
    <w:p w:rsidR="00587374" w:rsidRDefault="00587374" w:rsidP="00587374">
      <w:pPr>
        <w:spacing w:after="0" w:line="240" w:lineRule="auto"/>
        <w:rPr>
          <w:rFonts w:ascii="Trebuchet MS" w:eastAsia="Times New Roman" w:hAnsi="Trebuchet MS" w:cs="Times New Roman"/>
          <w:color w:val="1F497D" w:themeColor="text2"/>
          <w:sz w:val="18"/>
          <w:szCs w:val="18"/>
          <w:lang w:val="en"/>
        </w:rPr>
      </w:pPr>
      <w:r>
        <w:rPr>
          <w:rFonts w:cstheme="minorHAnsi"/>
          <w:b/>
          <w:bCs/>
        </w:rPr>
        <w:t xml:space="preserve">2b4.3. Describe the conceptual/clinical </w:t>
      </w:r>
      <w:r>
        <w:rPr>
          <w:rFonts w:cstheme="minorHAnsi"/>
          <w:b/>
          <w:bCs/>
          <w:u w:val="single"/>
        </w:rPr>
        <w:t>and</w:t>
      </w:r>
      <w:r>
        <w:rPr>
          <w:rFonts w:cstheme="minorHAnsi"/>
          <w:b/>
          <w:bCs/>
        </w:rPr>
        <w:t xml:space="preserve"> statistical methods and criteria used to select patient factors used in the statistical risk model or for stratification by risk </w:t>
      </w:r>
      <w:r>
        <w:rPr>
          <w:rFonts w:cstheme="minorHAnsi"/>
          <w:bCs/>
        </w:rPr>
        <w:t>(</w:t>
      </w:r>
      <w:r>
        <w:rPr>
          <w:rFonts w:cstheme="minorHAnsi"/>
          <w:bCs/>
          <w:i/>
        </w:rPr>
        <w:t>e.g., potential factors identified in the literature and/or expert panel; regression analysis; statistical significance of p&lt;0.10; correlation of x or higher; patient factors should be present at the start of care and not related to disparities</w:t>
      </w:r>
      <w:r>
        <w:rPr>
          <w:rFonts w:cstheme="minorHAnsi"/>
          <w:bCs/>
        </w:rPr>
        <w:t>)</w:t>
      </w:r>
      <w:r>
        <w:rPr>
          <w:rFonts w:cstheme="minorHAnsi"/>
          <w:bCs/>
        </w:rPr>
        <w:br/>
      </w:r>
      <w:r>
        <w:rPr>
          <w:rFonts w:ascii="Trebuchet MS" w:eastAsia="Times New Roman" w:hAnsi="Trebuchet MS" w:cs="Times New Roman"/>
          <w:color w:val="1F497D" w:themeColor="text2"/>
          <w:sz w:val="18"/>
          <w:szCs w:val="18"/>
          <w:lang w:val="en"/>
        </w:rPr>
        <w:t>During the measure development process, the expert panel discusses potential variables for risk adjustment that are important to consider for the measured population, in this case patients undergoing total knee replacement procedures. The group decides what clinical variables in addition to the MNCM standard demographic data (gender, age, zip, race/ethnicity, country of origin, primary language and insurance product) to collect through the data collection and submission process. Risk adjustment variables selected for study for this measure additionally include: pre-op functional status score (OKS), BMI, a comorbidity of diabetes and tobacco use.</w:t>
      </w:r>
      <w:r>
        <w:rPr>
          <w:rFonts w:ascii="Trebuchet MS" w:eastAsia="Times New Roman" w:hAnsi="Trebuchet MS" w:cs="Times New Roman"/>
          <w:color w:val="000000"/>
          <w:sz w:val="18"/>
          <w:szCs w:val="18"/>
          <w:lang w:val="en"/>
        </w:rPr>
        <w:br/>
      </w:r>
      <w:r>
        <w:rPr>
          <w:rFonts w:ascii="Trebuchet MS" w:eastAsia="Times New Roman" w:hAnsi="Trebuchet MS" w:cs="Times New Roman"/>
          <w:color w:val="1F497D" w:themeColor="text2"/>
          <w:sz w:val="18"/>
          <w:szCs w:val="18"/>
          <w:lang w:val="en"/>
        </w:rPr>
        <w:br/>
        <w:t xml:space="preserve">This is a new measure; recently completed multi-phase pilot testing. Risk adjustment model testing was completed in </w:t>
      </w:r>
      <w:proofErr w:type="gramStart"/>
      <w:r>
        <w:rPr>
          <w:rFonts w:ascii="Trebuchet MS" w:eastAsia="Times New Roman" w:hAnsi="Trebuchet MS" w:cs="Times New Roman"/>
          <w:color w:val="1F497D" w:themeColor="text2"/>
          <w:sz w:val="18"/>
          <w:szCs w:val="18"/>
          <w:lang w:val="en"/>
        </w:rPr>
        <w:t>Fall</w:t>
      </w:r>
      <w:proofErr w:type="gramEnd"/>
      <w:r>
        <w:rPr>
          <w:rFonts w:ascii="Trebuchet MS" w:eastAsia="Times New Roman" w:hAnsi="Trebuchet MS" w:cs="Times New Roman"/>
          <w:color w:val="1F497D" w:themeColor="text2"/>
          <w:sz w:val="18"/>
          <w:szCs w:val="18"/>
          <w:lang w:val="en"/>
        </w:rPr>
        <w:t xml:space="preserve"> 2015.</w:t>
      </w:r>
    </w:p>
    <w:p w:rsidR="00587374" w:rsidRDefault="00587374" w:rsidP="00587374">
      <w:pPr>
        <w:spacing w:after="0" w:line="240" w:lineRule="auto"/>
        <w:rPr>
          <w:rFonts w:ascii="Trebuchet MS" w:eastAsia="Times New Roman" w:hAnsi="Trebuchet MS" w:cs="Times New Roman"/>
          <w:color w:val="1F497D" w:themeColor="text2"/>
          <w:sz w:val="18"/>
          <w:szCs w:val="18"/>
          <w:lang w:val="en"/>
        </w:rPr>
      </w:pPr>
      <w:r>
        <w:rPr>
          <w:rFonts w:ascii="Trebuchet MS" w:eastAsia="Times New Roman" w:hAnsi="Trebuchet MS" w:cs="Times New Roman"/>
          <w:color w:val="1F497D" w:themeColor="text2"/>
          <w:sz w:val="18"/>
          <w:szCs w:val="18"/>
          <w:lang w:val="en"/>
        </w:rPr>
        <w:br/>
        <w:t xml:space="preserve">MN Community Measurement publicly reporting of data that is risk adjusted uses an “Actual to Expected” methodology, which allows the unadjusted rate to be preserved and displayed but instead also displays an “expected result” for fair comparison. </w:t>
      </w:r>
    </w:p>
    <w:p w:rsidR="00587374" w:rsidRDefault="00587374" w:rsidP="00587374">
      <w:pPr>
        <w:spacing w:after="0" w:line="240" w:lineRule="auto"/>
        <w:rPr>
          <w:rFonts w:ascii="Trebuchet MS" w:eastAsia="Times New Roman" w:hAnsi="Trebuchet MS" w:cs="Times New Roman"/>
          <w:color w:val="1F497D" w:themeColor="text2"/>
          <w:sz w:val="18"/>
          <w:szCs w:val="18"/>
          <w:lang w:val="en"/>
        </w:rPr>
      </w:pPr>
    </w:p>
    <w:p w:rsidR="00587374" w:rsidRDefault="00587374" w:rsidP="00587374">
      <w:pPr>
        <w:spacing w:after="0" w:line="240" w:lineRule="auto"/>
        <w:rPr>
          <w:rFonts w:ascii="Trebuchet MS" w:eastAsia="Times New Roman" w:hAnsi="Trebuchet MS" w:cs="Times New Roman"/>
          <w:color w:val="1F497D" w:themeColor="text2"/>
          <w:sz w:val="18"/>
          <w:szCs w:val="18"/>
          <w:lang w:val="en"/>
        </w:rPr>
      </w:pPr>
      <w:r>
        <w:rPr>
          <w:rFonts w:ascii="Trebuchet MS" w:eastAsia="Times New Roman" w:hAnsi="Trebuchet MS" w:cs="Times New Roman"/>
          <w:color w:val="1F497D" w:themeColor="text2"/>
          <w:sz w:val="18"/>
          <w:szCs w:val="18"/>
          <w:lang w:val="en"/>
        </w:rPr>
        <w:t>In the selection of factors for risk adjustment, MNCM utilizes the framework established by the NQF as outlined here:</w:t>
      </w:r>
    </w:p>
    <w:p w:rsidR="00587374" w:rsidRDefault="00587374" w:rsidP="00587374">
      <w:pPr>
        <w:pStyle w:val="ListParagraph"/>
        <w:numPr>
          <w:ilvl w:val="0"/>
          <w:numId w:val="1"/>
        </w:numPr>
        <w:spacing w:after="0" w:line="240" w:lineRule="auto"/>
        <w:rPr>
          <w:rFonts w:ascii="Trebuchet MS" w:eastAsia="Times New Roman" w:hAnsi="Trebuchet MS" w:cs="Times New Roman"/>
          <w:color w:val="1F497D" w:themeColor="text2"/>
          <w:sz w:val="18"/>
          <w:szCs w:val="18"/>
          <w:lang w:val="en"/>
        </w:rPr>
      </w:pPr>
      <w:r>
        <w:rPr>
          <w:rFonts w:ascii="Trebuchet MS" w:eastAsia="Times New Roman" w:hAnsi="Trebuchet MS" w:cs="Times New Roman"/>
          <w:color w:val="1F497D" w:themeColor="text2"/>
          <w:sz w:val="18"/>
          <w:szCs w:val="18"/>
          <w:lang w:val="en"/>
        </w:rPr>
        <w:t>There exists a clinical/conceptual relationship with the outcome of interest</w:t>
      </w:r>
    </w:p>
    <w:p w:rsidR="00587374" w:rsidRDefault="00587374" w:rsidP="00587374">
      <w:pPr>
        <w:pStyle w:val="ListParagraph"/>
        <w:numPr>
          <w:ilvl w:val="0"/>
          <w:numId w:val="1"/>
        </w:numPr>
        <w:spacing w:after="0" w:line="240" w:lineRule="auto"/>
        <w:rPr>
          <w:rFonts w:ascii="Trebuchet MS" w:eastAsia="Times New Roman" w:hAnsi="Trebuchet MS" w:cs="Times New Roman"/>
          <w:color w:val="1F497D" w:themeColor="text2"/>
          <w:sz w:val="18"/>
          <w:szCs w:val="18"/>
          <w:lang w:val="en"/>
        </w:rPr>
      </w:pPr>
      <w:r>
        <w:rPr>
          <w:rFonts w:ascii="Trebuchet MS" w:eastAsia="Times New Roman" w:hAnsi="Trebuchet MS" w:cs="Times New Roman"/>
          <w:color w:val="1F497D" w:themeColor="text2"/>
          <w:sz w:val="18"/>
          <w:szCs w:val="18"/>
          <w:lang w:val="en"/>
        </w:rPr>
        <w:t>Empirical association with the outcome of care can be demonstrated</w:t>
      </w:r>
    </w:p>
    <w:p w:rsidR="00587374" w:rsidRDefault="00587374" w:rsidP="00587374">
      <w:pPr>
        <w:pStyle w:val="ListParagraph"/>
        <w:numPr>
          <w:ilvl w:val="0"/>
          <w:numId w:val="1"/>
        </w:numPr>
        <w:spacing w:after="0" w:line="240" w:lineRule="auto"/>
        <w:rPr>
          <w:rFonts w:ascii="Trebuchet MS" w:eastAsia="Times New Roman" w:hAnsi="Trebuchet MS" w:cs="Times New Roman"/>
          <w:color w:val="1F497D" w:themeColor="text2"/>
          <w:sz w:val="18"/>
          <w:szCs w:val="18"/>
          <w:lang w:val="en"/>
        </w:rPr>
      </w:pPr>
      <w:r>
        <w:rPr>
          <w:rFonts w:ascii="Trebuchet MS" w:eastAsia="Times New Roman" w:hAnsi="Trebuchet MS" w:cs="Times New Roman"/>
          <w:color w:val="1F497D" w:themeColor="text2"/>
          <w:sz w:val="18"/>
          <w:szCs w:val="18"/>
          <w:lang w:val="en"/>
        </w:rPr>
        <w:t>There is variation in prevalence of the factor across measured entities</w:t>
      </w:r>
    </w:p>
    <w:p w:rsidR="00587374" w:rsidRDefault="00587374" w:rsidP="00587374">
      <w:pPr>
        <w:pStyle w:val="ListParagraph"/>
        <w:numPr>
          <w:ilvl w:val="0"/>
          <w:numId w:val="1"/>
        </w:numPr>
        <w:spacing w:after="0" w:line="240" w:lineRule="auto"/>
        <w:rPr>
          <w:rFonts w:ascii="Trebuchet MS" w:eastAsia="Times New Roman" w:hAnsi="Trebuchet MS" w:cs="Times New Roman"/>
          <w:color w:val="1F497D" w:themeColor="text2"/>
          <w:sz w:val="18"/>
          <w:szCs w:val="18"/>
          <w:lang w:val="en"/>
        </w:rPr>
      </w:pPr>
      <w:r>
        <w:rPr>
          <w:rFonts w:ascii="Trebuchet MS" w:eastAsia="Times New Roman" w:hAnsi="Trebuchet MS" w:cs="Times New Roman"/>
          <w:color w:val="1F497D" w:themeColor="text2"/>
          <w:sz w:val="18"/>
          <w:szCs w:val="18"/>
          <w:lang w:val="en"/>
        </w:rPr>
        <w:t>The factor is not confounded with the quality of care</w:t>
      </w:r>
    </w:p>
    <w:p w:rsidR="00587374" w:rsidRDefault="00587374" w:rsidP="00587374">
      <w:pPr>
        <w:pStyle w:val="ListParagraph"/>
        <w:numPr>
          <w:ilvl w:val="0"/>
          <w:numId w:val="1"/>
        </w:numPr>
        <w:spacing w:after="0" w:line="240" w:lineRule="auto"/>
        <w:rPr>
          <w:rFonts w:ascii="Trebuchet MS" w:eastAsia="Times New Roman" w:hAnsi="Trebuchet MS" w:cs="Times New Roman"/>
          <w:color w:val="1F497D" w:themeColor="text2"/>
          <w:sz w:val="18"/>
          <w:szCs w:val="18"/>
          <w:lang w:val="en"/>
        </w:rPr>
      </w:pPr>
      <w:r>
        <w:rPr>
          <w:rFonts w:ascii="Trebuchet MS" w:eastAsia="Times New Roman" w:hAnsi="Trebuchet MS" w:cs="Times New Roman"/>
          <w:color w:val="1F497D" w:themeColor="text2"/>
          <w:sz w:val="18"/>
          <w:szCs w:val="18"/>
          <w:lang w:val="en"/>
        </w:rPr>
        <w:t>It should be resistant to manipulation or gaming – generally, a diagnosis or assessment data (e.g. functional status score) is considered less susceptible to manipulation than a clinical procedure or treatment</w:t>
      </w:r>
    </w:p>
    <w:p w:rsidR="00587374" w:rsidRDefault="00587374" w:rsidP="00587374">
      <w:pPr>
        <w:pStyle w:val="ListParagraph"/>
        <w:numPr>
          <w:ilvl w:val="0"/>
          <w:numId w:val="1"/>
        </w:numPr>
        <w:spacing w:after="0" w:line="240" w:lineRule="auto"/>
        <w:rPr>
          <w:rFonts w:ascii="Trebuchet MS" w:eastAsia="Times New Roman" w:hAnsi="Trebuchet MS" w:cs="Times New Roman"/>
          <w:color w:val="1F497D" w:themeColor="text2"/>
          <w:sz w:val="18"/>
          <w:szCs w:val="18"/>
          <w:lang w:val="en"/>
        </w:rPr>
      </w:pPr>
      <w:r>
        <w:rPr>
          <w:rFonts w:ascii="Trebuchet MS" w:eastAsia="Times New Roman" w:hAnsi="Trebuchet MS" w:cs="Times New Roman"/>
          <w:color w:val="1F497D" w:themeColor="text2"/>
          <w:sz w:val="18"/>
          <w:szCs w:val="18"/>
          <w:lang w:val="en"/>
        </w:rPr>
        <w:t>Accurate data can be reliably and feasibly captured at a reasonable cost</w:t>
      </w:r>
    </w:p>
    <w:p w:rsidR="00587374" w:rsidRDefault="00587374" w:rsidP="00587374">
      <w:pPr>
        <w:pStyle w:val="ListParagraph"/>
        <w:numPr>
          <w:ilvl w:val="0"/>
          <w:numId w:val="1"/>
        </w:numPr>
        <w:spacing w:after="0" w:line="240" w:lineRule="auto"/>
        <w:rPr>
          <w:rFonts w:ascii="Trebuchet MS" w:eastAsia="Times New Roman" w:hAnsi="Trebuchet MS" w:cs="Times New Roman"/>
          <w:color w:val="1F497D" w:themeColor="text2"/>
          <w:sz w:val="18"/>
          <w:szCs w:val="18"/>
          <w:lang w:val="en"/>
        </w:rPr>
      </w:pPr>
      <w:r>
        <w:rPr>
          <w:rFonts w:ascii="Trebuchet MS" w:eastAsia="Times New Roman" w:hAnsi="Trebuchet MS" w:cs="Times New Roman"/>
          <w:color w:val="1F497D" w:themeColor="text2"/>
          <w:sz w:val="18"/>
          <w:szCs w:val="18"/>
          <w:lang w:val="en"/>
        </w:rPr>
        <w:t>There is a contribution of unique variation in the outcome</w:t>
      </w:r>
    </w:p>
    <w:p w:rsidR="00587374" w:rsidRDefault="00587374" w:rsidP="00587374">
      <w:pPr>
        <w:pStyle w:val="ListParagraph"/>
        <w:numPr>
          <w:ilvl w:val="0"/>
          <w:numId w:val="1"/>
        </w:numPr>
        <w:spacing w:after="0" w:line="240" w:lineRule="auto"/>
        <w:rPr>
          <w:rFonts w:ascii="Trebuchet MS" w:eastAsia="Times New Roman" w:hAnsi="Trebuchet MS" w:cs="Times New Roman"/>
          <w:color w:val="1F497D" w:themeColor="text2"/>
          <w:sz w:val="18"/>
          <w:szCs w:val="18"/>
          <w:lang w:val="en"/>
        </w:rPr>
      </w:pPr>
      <w:r>
        <w:rPr>
          <w:rFonts w:ascii="Trebuchet MS" w:eastAsia="Times New Roman" w:hAnsi="Trebuchet MS" w:cs="Times New Roman"/>
          <w:color w:val="1F497D" w:themeColor="text2"/>
          <w:sz w:val="18"/>
          <w:szCs w:val="18"/>
          <w:lang w:val="en"/>
        </w:rPr>
        <w:t>Potentially, improvement of the risk model and sustained with cross validation</w:t>
      </w:r>
    </w:p>
    <w:p w:rsidR="00587374" w:rsidRDefault="00587374" w:rsidP="00587374">
      <w:pPr>
        <w:pStyle w:val="ListParagraph"/>
        <w:numPr>
          <w:ilvl w:val="0"/>
          <w:numId w:val="1"/>
        </w:numPr>
        <w:spacing w:after="0" w:line="240" w:lineRule="auto"/>
        <w:rPr>
          <w:rFonts w:ascii="Trebuchet MS" w:eastAsia="Times New Roman" w:hAnsi="Trebuchet MS" w:cs="Times New Roman"/>
          <w:color w:val="1F497D" w:themeColor="text2"/>
          <w:sz w:val="18"/>
          <w:szCs w:val="18"/>
          <w:lang w:val="en"/>
        </w:rPr>
      </w:pPr>
      <w:r>
        <w:rPr>
          <w:rFonts w:ascii="Trebuchet MS" w:eastAsia="Times New Roman" w:hAnsi="Trebuchet MS" w:cs="Times New Roman"/>
          <w:color w:val="1F497D" w:themeColor="text2"/>
          <w:sz w:val="18"/>
          <w:szCs w:val="18"/>
          <w:lang w:val="en"/>
        </w:rPr>
        <w:t>Potentially, face validity and acceptability</w:t>
      </w:r>
    </w:p>
    <w:p w:rsidR="00587374" w:rsidRDefault="00587374" w:rsidP="00587374">
      <w:pPr>
        <w:spacing w:after="0" w:line="240" w:lineRule="auto"/>
        <w:rPr>
          <w:rFonts w:ascii="Trebuchet MS" w:eastAsia="Times New Roman" w:hAnsi="Trebuchet MS" w:cs="Times New Roman"/>
          <w:color w:val="1F497D" w:themeColor="text2"/>
          <w:sz w:val="18"/>
          <w:szCs w:val="18"/>
          <w:lang w:val="en"/>
        </w:rPr>
      </w:pPr>
    </w:p>
    <w:p w:rsidR="00587374" w:rsidRDefault="00587374" w:rsidP="00587374">
      <w:pPr>
        <w:spacing w:after="0" w:line="240" w:lineRule="auto"/>
        <w:rPr>
          <w:rFonts w:cstheme="minorHAnsi"/>
          <w:b/>
          <w:bCs/>
        </w:rPr>
      </w:pPr>
      <w:r>
        <w:rPr>
          <w:rFonts w:ascii="Trebuchet MS" w:eastAsia="Times New Roman" w:hAnsi="Trebuchet MS" w:cs="Times New Roman"/>
          <w:color w:val="1F497D" w:themeColor="text2"/>
          <w:sz w:val="18"/>
          <w:szCs w:val="18"/>
          <w:lang w:val="en"/>
        </w:rPr>
        <w:t xml:space="preserve">Potential risk adjustment factors were empirically evaluated for appropriate inclusion in the model based on an AVOVA f Test to test the likelihood that a category is unique, f&lt;0.01.    </w:t>
      </w:r>
      <w:r>
        <w:rPr>
          <w:rFonts w:ascii="Trebuchet MS" w:eastAsia="Times New Roman" w:hAnsi="Trebuchet MS" w:cs="Times New Roman"/>
          <w:color w:val="1F497D" w:themeColor="text2"/>
          <w:sz w:val="18"/>
          <w:szCs w:val="18"/>
          <w:lang w:val="en"/>
        </w:rPr>
        <w:br/>
      </w:r>
      <w:r>
        <w:rPr>
          <w:rFonts w:ascii="Trebuchet MS" w:eastAsia="Times New Roman" w:hAnsi="Trebuchet MS" w:cs="Times New Roman"/>
          <w:color w:val="1F497D" w:themeColor="text2"/>
          <w:sz w:val="18"/>
          <w:szCs w:val="18"/>
          <w:lang w:val="en"/>
        </w:rPr>
        <w:br/>
      </w:r>
      <w:r>
        <w:rPr>
          <w:rFonts w:cstheme="minorHAnsi"/>
          <w:b/>
          <w:bCs/>
        </w:rPr>
        <w:t xml:space="preserve">2b4.4. </w:t>
      </w:r>
      <w:proofErr w:type="gramStart"/>
      <w:r>
        <w:rPr>
          <w:rFonts w:cstheme="minorHAnsi"/>
          <w:b/>
          <w:bCs/>
        </w:rPr>
        <w:t>What</w:t>
      </w:r>
      <w:proofErr w:type="gramEnd"/>
      <w:r>
        <w:rPr>
          <w:rFonts w:cstheme="minorHAnsi"/>
          <w:b/>
          <w:bCs/>
        </w:rPr>
        <w:t xml:space="preserve"> were the statistical results of the analyses used to select risk factors?</w:t>
      </w:r>
      <w:r>
        <w:rPr>
          <w:rFonts w:cstheme="minorHAnsi"/>
          <w:b/>
          <w:bCs/>
        </w:rPr>
        <w:br/>
      </w:r>
    </w:p>
    <w:p w:rsidR="00587374" w:rsidRDefault="00587374" w:rsidP="00587374">
      <w:pPr>
        <w:spacing w:after="0" w:line="240" w:lineRule="auto"/>
        <w:rPr>
          <w:rFonts w:cstheme="minorHAnsi"/>
          <w:bCs/>
        </w:rPr>
      </w:pPr>
      <w:r>
        <w:rPr>
          <w:rFonts w:cstheme="minorHAnsi"/>
          <w:bCs/>
        </w:rPr>
        <w:t>Analyzing 2,314 records with 2014 dates of service and utilizing an ANOVA f Test to test the likelihood that a category is unique, it was found that the patient’s insurance product is not a significant (f &lt; .01)determining factor in the outcome.</w:t>
      </w:r>
    </w:p>
    <w:tbl>
      <w:tblPr>
        <w:tblStyle w:val="LightShading-Accent6"/>
        <w:tblW w:w="0" w:type="auto"/>
        <w:tblInd w:w="0" w:type="dxa"/>
        <w:tblLayout w:type="fixed"/>
        <w:tblLook w:val="04A0" w:firstRow="1" w:lastRow="0" w:firstColumn="1" w:lastColumn="0" w:noHBand="0" w:noVBand="1"/>
      </w:tblPr>
      <w:tblGrid>
        <w:gridCol w:w="1307"/>
        <w:gridCol w:w="1663"/>
        <w:gridCol w:w="1111"/>
        <w:gridCol w:w="1387"/>
        <w:gridCol w:w="1053"/>
      </w:tblGrid>
      <w:tr w:rsidR="00587374" w:rsidTr="00587374">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07" w:type="dxa"/>
            <w:noWrap/>
            <w:hideMark/>
          </w:tcPr>
          <w:p w:rsidR="00587374" w:rsidRDefault="00587374">
            <w:pPr>
              <w:spacing w:after="0"/>
              <w:rPr>
                <w:rFonts w:cs="Times New Roman"/>
              </w:rPr>
            </w:pPr>
          </w:p>
        </w:tc>
        <w:tc>
          <w:tcPr>
            <w:tcW w:w="1663" w:type="dxa"/>
            <w:noWrap/>
            <w:hideMark/>
          </w:tcPr>
          <w:p w:rsidR="00587374" w:rsidRDefault="00587374">
            <w:pPr>
              <w:spacing w:before="0" w:beforeAutospacing="0" w:after="0" w:afterAutospacing="0"/>
              <w:cnfStyle w:val="100000000000" w:firstRow="1" w:lastRow="0" w:firstColumn="0" w:lastColumn="0" w:oddVBand="0" w:evenVBand="0" w:oddHBand="0" w:evenHBand="0" w:firstRowFirstColumn="0" w:firstRowLastColumn="0" w:lastRowFirstColumn="0" w:lastRowLastColumn="0"/>
              <w:rPr>
                <w:spacing w:val="4"/>
                <w:sz w:val="20"/>
                <w:szCs w:val="20"/>
              </w:rPr>
            </w:pPr>
            <w:r>
              <w:rPr>
                <w:sz w:val="20"/>
                <w:szCs w:val="20"/>
              </w:rPr>
              <w:t>Average Change</w:t>
            </w:r>
          </w:p>
        </w:tc>
        <w:tc>
          <w:tcPr>
            <w:tcW w:w="1111" w:type="dxa"/>
            <w:noWrap/>
            <w:hideMark/>
          </w:tcPr>
          <w:p w:rsidR="00587374" w:rsidRDefault="00587374">
            <w:pPr>
              <w:spacing w:before="0" w:beforeAutospacing="0" w:after="0" w:afterAutospacing="0"/>
              <w:cnfStyle w:val="100000000000" w:firstRow="1" w:lastRow="0" w:firstColumn="0" w:lastColumn="0" w:oddVBand="0" w:evenVBand="0" w:oddHBand="0" w:evenHBand="0" w:firstRowFirstColumn="0" w:firstRowLastColumn="0" w:lastRowFirstColumn="0" w:lastRowLastColumn="0"/>
              <w:rPr>
                <w:sz w:val="20"/>
                <w:szCs w:val="20"/>
              </w:rPr>
            </w:pPr>
            <w:r>
              <w:rPr>
                <w:sz w:val="20"/>
                <w:szCs w:val="20"/>
              </w:rPr>
              <w:t>n</w:t>
            </w:r>
          </w:p>
        </w:tc>
        <w:tc>
          <w:tcPr>
            <w:tcW w:w="1387" w:type="dxa"/>
            <w:noWrap/>
            <w:hideMark/>
          </w:tcPr>
          <w:p w:rsidR="00587374" w:rsidRDefault="00587374">
            <w:pPr>
              <w:spacing w:before="0" w:beforeAutospacing="0" w:after="0" w:afterAutospacing="0"/>
              <w:cnfStyle w:val="100000000000" w:firstRow="1" w:lastRow="0" w:firstColumn="0" w:lastColumn="0" w:oddVBand="0" w:evenVBand="0" w:oddHBand="0" w:evenHBand="0" w:firstRowFirstColumn="0" w:firstRowLastColumn="0" w:lastRowFirstColumn="0" w:lastRowLastColumn="0"/>
              <w:rPr>
                <w:sz w:val="20"/>
                <w:szCs w:val="20"/>
              </w:rPr>
            </w:pPr>
            <w:r>
              <w:rPr>
                <w:sz w:val="20"/>
                <w:szCs w:val="20"/>
              </w:rPr>
              <w:t>F test</w:t>
            </w:r>
          </w:p>
        </w:tc>
        <w:tc>
          <w:tcPr>
            <w:tcW w:w="1053" w:type="dxa"/>
            <w:noWrap/>
            <w:hideMark/>
          </w:tcPr>
          <w:p w:rsidR="00587374" w:rsidRDefault="00587374">
            <w:pPr>
              <w:spacing w:after="0"/>
              <w:cnfStyle w:val="100000000000" w:firstRow="1" w:lastRow="0" w:firstColumn="0" w:lastColumn="0" w:oddVBand="0" w:evenVBand="0" w:oddHBand="0" w:evenHBand="0" w:firstRowFirstColumn="0" w:firstRowLastColumn="0" w:lastRowFirstColumn="0" w:lastRowLastColumn="0"/>
              <w:rPr>
                <w:rFonts w:cs="Times New Roman"/>
              </w:rPr>
            </w:pPr>
          </w:p>
        </w:tc>
      </w:tr>
      <w:tr w:rsidR="00587374" w:rsidTr="005873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07" w:type="dxa"/>
            <w:tcBorders>
              <w:top w:val="nil"/>
              <w:bottom w:val="nil"/>
            </w:tcBorders>
            <w:noWrap/>
            <w:hideMark/>
          </w:tcPr>
          <w:p w:rsidR="00587374" w:rsidRDefault="00587374">
            <w:pPr>
              <w:rPr>
                <w:spacing w:val="4"/>
                <w:sz w:val="20"/>
                <w:szCs w:val="20"/>
              </w:rPr>
            </w:pPr>
            <w:r>
              <w:rPr>
                <w:sz w:val="20"/>
                <w:szCs w:val="20"/>
              </w:rPr>
              <w:t>Commercial</w:t>
            </w:r>
          </w:p>
        </w:tc>
        <w:tc>
          <w:tcPr>
            <w:tcW w:w="1663" w:type="dxa"/>
            <w:tcBorders>
              <w:top w:val="nil"/>
              <w:bottom w:val="nil"/>
            </w:tcBorders>
            <w:noWrap/>
            <w:hideMark/>
          </w:tcPr>
          <w:p w:rsidR="00587374" w:rsidRDefault="00587374">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17.4</w:t>
            </w:r>
          </w:p>
        </w:tc>
        <w:tc>
          <w:tcPr>
            <w:tcW w:w="1111" w:type="dxa"/>
            <w:tcBorders>
              <w:top w:val="nil"/>
              <w:bottom w:val="nil"/>
            </w:tcBorders>
            <w:noWrap/>
            <w:hideMark/>
          </w:tcPr>
          <w:p w:rsidR="00587374" w:rsidRDefault="00587374">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784</w:t>
            </w:r>
          </w:p>
        </w:tc>
        <w:tc>
          <w:tcPr>
            <w:tcW w:w="1387" w:type="dxa"/>
            <w:tcBorders>
              <w:top w:val="nil"/>
              <w:bottom w:val="nil"/>
            </w:tcBorders>
            <w:noWrap/>
            <w:hideMark/>
          </w:tcPr>
          <w:p w:rsidR="00587374" w:rsidRDefault="00587374">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0.70</w:t>
            </w:r>
          </w:p>
        </w:tc>
        <w:tc>
          <w:tcPr>
            <w:tcW w:w="1053" w:type="dxa"/>
            <w:tcBorders>
              <w:top w:val="nil"/>
              <w:bottom w:val="nil"/>
            </w:tcBorders>
            <w:noWrap/>
            <w:hideMark/>
          </w:tcPr>
          <w:p w:rsidR="00587374" w:rsidRDefault="00587374">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965</w:t>
            </w:r>
          </w:p>
        </w:tc>
      </w:tr>
      <w:tr w:rsidR="00587374" w:rsidTr="00587374">
        <w:trPr>
          <w:trHeight w:val="300"/>
        </w:trPr>
        <w:tc>
          <w:tcPr>
            <w:cnfStyle w:val="001000000000" w:firstRow="0" w:lastRow="0" w:firstColumn="1" w:lastColumn="0" w:oddVBand="0" w:evenVBand="0" w:oddHBand="0" w:evenHBand="0" w:firstRowFirstColumn="0" w:firstRowLastColumn="0" w:lastRowFirstColumn="0" w:lastRowLastColumn="0"/>
            <w:tcW w:w="1307" w:type="dxa"/>
            <w:tcBorders>
              <w:top w:val="nil"/>
              <w:left w:val="nil"/>
              <w:bottom w:val="nil"/>
              <w:right w:val="nil"/>
            </w:tcBorders>
            <w:noWrap/>
            <w:hideMark/>
          </w:tcPr>
          <w:p w:rsidR="00587374" w:rsidRDefault="00587374">
            <w:pPr>
              <w:rPr>
                <w:sz w:val="20"/>
                <w:szCs w:val="20"/>
              </w:rPr>
            </w:pPr>
            <w:r>
              <w:rPr>
                <w:sz w:val="20"/>
                <w:szCs w:val="20"/>
              </w:rPr>
              <w:t>Medicare</w:t>
            </w:r>
          </w:p>
        </w:tc>
        <w:tc>
          <w:tcPr>
            <w:tcW w:w="1663" w:type="dxa"/>
            <w:tcBorders>
              <w:top w:val="nil"/>
              <w:left w:val="nil"/>
              <w:bottom w:val="nil"/>
              <w:right w:val="nil"/>
            </w:tcBorders>
            <w:noWrap/>
            <w:hideMark/>
          </w:tcPr>
          <w:p w:rsidR="00587374" w:rsidRDefault="00587374">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16.7</w:t>
            </w:r>
          </w:p>
        </w:tc>
        <w:tc>
          <w:tcPr>
            <w:tcW w:w="1111" w:type="dxa"/>
            <w:tcBorders>
              <w:top w:val="nil"/>
              <w:left w:val="nil"/>
              <w:bottom w:val="nil"/>
              <w:right w:val="nil"/>
            </w:tcBorders>
            <w:noWrap/>
            <w:hideMark/>
          </w:tcPr>
          <w:p w:rsidR="00587374" w:rsidRDefault="00587374">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130</w:t>
            </w:r>
          </w:p>
        </w:tc>
        <w:tc>
          <w:tcPr>
            <w:tcW w:w="2440" w:type="dxa"/>
            <w:gridSpan w:val="2"/>
            <w:tcBorders>
              <w:top w:val="nil"/>
              <w:left w:val="nil"/>
              <w:bottom w:val="nil"/>
              <w:right w:val="nil"/>
            </w:tcBorders>
            <w:noWrap/>
            <w:hideMark/>
          </w:tcPr>
          <w:p w:rsidR="00587374" w:rsidRDefault="00587374">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Comparison</w:t>
            </w:r>
          </w:p>
        </w:tc>
      </w:tr>
      <w:tr w:rsidR="00587374" w:rsidTr="005873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07" w:type="dxa"/>
            <w:tcBorders>
              <w:top w:val="nil"/>
              <w:bottom w:val="nil"/>
            </w:tcBorders>
            <w:noWrap/>
            <w:hideMark/>
          </w:tcPr>
          <w:p w:rsidR="00587374" w:rsidRDefault="00587374">
            <w:pPr>
              <w:rPr>
                <w:sz w:val="20"/>
                <w:szCs w:val="20"/>
              </w:rPr>
            </w:pPr>
            <w:r>
              <w:rPr>
                <w:sz w:val="20"/>
                <w:szCs w:val="20"/>
              </w:rPr>
              <w:t>MHCP</w:t>
            </w:r>
          </w:p>
        </w:tc>
        <w:tc>
          <w:tcPr>
            <w:tcW w:w="1663" w:type="dxa"/>
            <w:tcBorders>
              <w:top w:val="nil"/>
              <w:bottom w:val="nil"/>
            </w:tcBorders>
            <w:noWrap/>
            <w:hideMark/>
          </w:tcPr>
          <w:p w:rsidR="00587374" w:rsidRDefault="00587374">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17.9</w:t>
            </w:r>
          </w:p>
        </w:tc>
        <w:tc>
          <w:tcPr>
            <w:tcW w:w="1111" w:type="dxa"/>
            <w:tcBorders>
              <w:top w:val="nil"/>
              <w:bottom w:val="nil"/>
            </w:tcBorders>
            <w:noWrap/>
            <w:hideMark/>
          </w:tcPr>
          <w:p w:rsidR="00587374" w:rsidRDefault="00587374">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216</w:t>
            </w:r>
          </w:p>
        </w:tc>
        <w:tc>
          <w:tcPr>
            <w:tcW w:w="1387" w:type="dxa"/>
            <w:tcBorders>
              <w:top w:val="nil"/>
              <w:bottom w:val="nil"/>
            </w:tcBorders>
            <w:noWrap/>
            <w:hideMark/>
          </w:tcPr>
          <w:p w:rsidR="00587374" w:rsidRDefault="00587374">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0.33</w:t>
            </w:r>
          </w:p>
        </w:tc>
        <w:tc>
          <w:tcPr>
            <w:tcW w:w="1053" w:type="dxa"/>
            <w:tcBorders>
              <w:top w:val="nil"/>
              <w:bottom w:val="nil"/>
            </w:tcBorders>
            <w:noWrap/>
            <w:hideMark/>
          </w:tcPr>
          <w:p w:rsidR="00587374" w:rsidRDefault="00587374">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266</w:t>
            </w:r>
          </w:p>
        </w:tc>
      </w:tr>
      <w:tr w:rsidR="00587374" w:rsidTr="00587374">
        <w:trPr>
          <w:trHeight w:val="300"/>
        </w:trPr>
        <w:tc>
          <w:tcPr>
            <w:cnfStyle w:val="001000000000" w:firstRow="0" w:lastRow="0" w:firstColumn="1" w:lastColumn="0" w:oddVBand="0" w:evenVBand="0" w:oddHBand="0" w:evenHBand="0" w:firstRowFirstColumn="0" w:firstRowLastColumn="0" w:lastRowFirstColumn="0" w:lastRowLastColumn="0"/>
            <w:tcW w:w="1307" w:type="dxa"/>
            <w:tcBorders>
              <w:top w:val="nil"/>
              <w:left w:val="nil"/>
              <w:bottom w:val="nil"/>
              <w:right w:val="nil"/>
            </w:tcBorders>
            <w:noWrap/>
            <w:hideMark/>
          </w:tcPr>
          <w:p w:rsidR="00587374" w:rsidRDefault="00587374">
            <w:pPr>
              <w:rPr>
                <w:sz w:val="20"/>
                <w:szCs w:val="20"/>
              </w:rPr>
            </w:pPr>
            <w:r>
              <w:rPr>
                <w:sz w:val="20"/>
                <w:szCs w:val="20"/>
              </w:rPr>
              <w:t>Uninsured</w:t>
            </w:r>
          </w:p>
        </w:tc>
        <w:tc>
          <w:tcPr>
            <w:tcW w:w="1663" w:type="dxa"/>
            <w:tcBorders>
              <w:top w:val="nil"/>
              <w:left w:val="nil"/>
              <w:bottom w:val="nil"/>
              <w:right w:val="nil"/>
            </w:tcBorders>
            <w:noWrap/>
            <w:hideMark/>
          </w:tcPr>
          <w:p w:rsidR="00587374" w:rsidRDefault="00587374">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17.1</w:t>
            </w:r>
          </w:p>
        </w:tc>
        <w:tc>
          <w:tcPr>
            <w:tcW w:w="1111" w:type="dxa"/>
            <w:tcBorders>
              <w:top w:val="nil"/>
              <w:left w:val="nil"/>
              <w:bottom w:val="nil"/>
              <w:right w:val="nil"/>
            </w:tcBorders>
            <w:noWrap/>
            <w:hideMark/>
          </w:tcPr>
          <w:p w:rsidR="00587374" w:rsidRDefault="00587374">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8</w:t>
            </w:r>
          </w:p>
        </w:tc>
        <w:tc>
          <w:tcPr>
            <w:tcW w:w="1387" w:type="dxa"/>
            <w:tcBorders>
              <w:top w:val="nil"/>
              <w:left w:val="nil"/>
              <w:bottom w:val="nil"/>
              <w:right w:val="nil"/>
            </w:tcBorders>
            <w:noWrap/>
            <w:hideMark/>
          </w:tcPr>
          <w:p w:rsidR="00587374" w:rsidRDefault="00587374">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0.42</w:t>
            </w:r>
          </w:p>
        </w:tc>
        <w:tc>
          <w:tcPr>
            <w:tcW w:w="1053" w:type="dxa"/>
            <w:tcBorders>
              <w:top w:val="nil"/>
              <w:left w:val="nil"/>
              <w:bottom w:val="nil"/>
              <w:right w:val="nil"/>
            </w:tcBorders>
            <w:noWrap/>
            <w:hideMark/>
          </w:tcPr>
          <w:p w:rsidR="00587374" w:rsidRDefault="00587374">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10</w:t>
            </w:r>
          </w:p>
        </w:tc>
      </w:tr>
      <w:tr w:rsidR="00587374" w:rsidTr="005873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07" w:type="dxa"/>
            <w:tcBorders>
              <w:top w:val="nil"/>
              <w:bottom w:val="single" w:sz="8" w:space="0" w:color="F79646" w:themeColor="accent6"/>
            </w:tcBorders>
            <w:noWrap/>
            <w:hideMark/>
          </w:tcPr>
          <w:p w:rsidR="00587374" w:rsidRDefault="00587374">
            <w:pPr>
              <w:rPr>
                <w:rFonts w:cs="Times New Roman"/>
              </w:rPr>
            </w:pPr>
          </w:p>
        </w:tc>
        <w:tc>
          <w:tcPr>
            <w:tcW w:w="1663" w:type="dxa"/>
            <w:tcBorders>
              <w:top w:val="nil"/>
              <w:bottom w:val="single" w:sz="8" w:space="0" w:color="F79646" w:themeColor="accent6"/>
            </w:tcBorders>
            <w:noWrap/>
            <w:hideMark/>
          </w:tcPr>
          <w:p w:rsidR="00587374" w:rsidRDefault="00587374">
            <w:pPr>
              <w:cnfStyle w:val="000000100000" w:firstRow="0" w:lastRow="0" w:firstColumn="0" w:lastColumn="0" w:oddVBand="0" w:evenVBand="0" w:oddHBand="1" w:evenHBand="0" w:firstRowFirstColumn="0" w:firstRowLastColumn="0" w:lastRowFirstColumn="0" w:lastRowLastColumn="0"/>
              <w:rPr>
                <w:rFonts w:cs="Times New Roman"/>
              </w:rPr>
            </w:pPr>
          </w:p>
        </w:tc>
        <w:tc>
          <w:tcPr>
            <w:tcW w:w="1111" w:type="dxa"/>
            <w:tcBorders>
              <w:top w:val="nil"/>
              <w:bottom w:val="single" w:sz="8" w:space="0" w:color="F79646" w:themeColor="accent6"/>
            </w:tcBorders>
            <w:noWrap/>
            <w:hideMark/>
          </w:tcPr>
          <w:p w:rsidR="00587374" w:rsidRDefault="00587374">
            <w:pPr>
              <w:cnfStyle w:val="000000100000" w:firstRow="0" w:lastRow="0" w:firstColumn="0" w:lastColumn="0" w:oddVBand="0" w:evenVBand="0" w:oddHBand="1" w:evenHBand="0" w:firstRowFirstColumn="0" w:firstRowLastColumn="0" w:lastRowFirstColumn="0" w:lastRowLastColumn="0"/>
              <w:rPr>
                <w:spacing w:val="4"/>
                <w:sz w:val="20"/>
                <w:szCs w:val="20"/>
              </w:rPr>
            </w:pPr>
            <w:r>
              <w:rPr>
                <w:sz w:val="20"/>
                <w:szCs w:val="20"/>
              </w:rPr>
              <w:t>2314</w:t>
            </w:r>
          </w:p>
        </w:tc>
        <w:tc>
          <w:tcPr>
            <w:tcW w:w="1387" w:type="dxa"/>
            <w:tcBorders>
              <w:top w:val="nil"/>
              <w:bottom w:val="single" w:sz="8" w:space="0" w:color="F79646" w:themeColor="accent6"/>
            </w:tcBorders>
            <w:noWrap/>
            <w:hideMark/>
          </w:tcPr>
          <w:p w:rsidR="00587374" w:rsidRDefault="00587374">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0.81</w:t>
            </w:r>
          </w:p>
        </w:tc>
        <w:tc>
          <w:tcPr>
            <w:tcW w:w="1053" w:type="dxa"/>
            <w:tcBorders>
              <w:top w:val="nil"/>
              <w:bottom w:val="single" w:sz="8" w:space="0" w:color="F79646" w:themeColor="accent6"/>
            </w:tcBorders>
            <w:noWrap/>
            <w:hideMark/>
          </w:tcPr>
          <w:p w:rsidR="00587374" w:rsidRDefault="00587374">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2847</w:t>
            </w:r>
          </w:p>
        </w:tc>
      </w:tr>
    </w:tbl>
    <w:p w:rsidR="00587374" w:rsidRDefault="00587374" w:rsidP="00587374">
      <w:pPr>
        <w:spacing w:after="0" w:line="240" w:lineRule="auto"/>
        <w:rPr>
          <w:rFonts w:cstheme="minorHAnsi"/>
          <w:bCs/>
        </w:rPr>
      </w:pPr>
    </w:p>
    <w:p w:rsidR="00587374" w:rsidRDefault="00587374" w:rsidP="00587374">
      <w:pPr>
        <w:spacing w:after="0" w:line="240" w:lineRule="auto"/>
        <w:rPr>
          <w:rFonts w:cstheme="minorHAnsi"/>
          <w:bCs/>
        </w:rPr>
      </w:pPr>
      <w:r>
        <w:rPr>
          <w:rFonts w:cstheme="minorHAnsi"/>
          <w:bCs/>
        </w:rPr>
        <w:t>It was found that the initial functional status of the patient is a significant (&lt;.01) factor in the final average functional change.</w:t>
      </w:r>
    </w:p>
    <w:tbl>
      <w:tblPr>
        <w:tblStyle w:val="LightShading-Accent3"/>
        <w:tblW w:w="0" w:type="auto"/>
        <w:tblInd w:w="0" w:type="dxa"/>
        <w:tblLayout w:type="fixed"/>
        <w:tblLook w:val="04A0" w:firstRow="1" w:lastRow="0" w:firstColumn="1" w:lastColumn="0" w:noHBand="0" w:noVBand="1"/>
      </w:tblPr>
      <w:tblGrid>
        <w:gridCol w:w="1940"/>
        <w:gridCol w:w="1650"/>
        <w:gridCol w:w="810"/>
        <w:gridCol w:w="1890"/>
      </w:tblGrid>
      <w:tr w:rsidR="00587374" w:rsidTr="00587374">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40" w:type="dxa"/>
            <w:noWrap/>
            <w:hideMark/>
          </w:tcPr>
          <w:p w:rsidR="00587374" w:rsidRDefault="00587374">
            <w:pPr>
              <w:spacing w:before="0" w:beforeAutospacing="0" w:after="0" w:afterAutospacing="0"/>
              <w:rPr>
                <w:sz w:val="20"/>
                <w:szCs w:val="20"/>
              </w:rPr>
            </w:pPr>
            <w:r>
              <w:rPr>
                <w:sz w:val="20"/>
                <w:szCs w:val="20"/>
              </w:rPr>
              <w:t>Functional Status</w:t>
            </w:r>
          </w:p>
        </w:tc>
        <w:tc>
          <w:tcPr>
            <w:tcW w:w="1650" w:type="dxa"/>
            <w:noWrap/>
            <w:hideMark/>
          </w:tcPr>
          <w:p w:rsidR="00587374" w:rsidRDefault="00587374">
            <w:pPr>
              <w:spacing w:before="0" w:beforeAutospacing="0" w:after="0" w:afterAutospacing="0"/>
              <w:cnfStyle w:val="100000000000" w:firstRow="1" w:lastRow="0" w:firstColumn="0" w:lastColumn="0" w:oddVBand="0" w:evenVBand="0" w:oddHBand="0" w:evenHBand="0" w:firstRowFirstColumn="0" w:firstRowLastColumn="0" w:lastRowFirstColumn="0" w:lastRowLastColumn="0"/>
              <w:rPr>
                <w:sz w:val="20"/>
                <w:szCs w:val="20"/>
              </w:rPr>
            </w:pPr>
            <w:r>
              <w:rPr>
                <w:sz w:val="20"/>
                <w:szCs w:val="20"/>
              </w:rPr>
              <w:t>Average Change</w:t>
            </w:r>
          </w:p>
        </w:tc>
        <w:tc>
          <w:tcPr>
            <w:tcW w:w="810" w:type="dxa"/>
            <w:noWrap/>
            <w:hideMark/>
          </w:tcPr>
          <w:p w:rsidR="00587374" w:rsidRDefault="00587374">
            <w:pPr>
              <w:spacing w:before="0" w:beforeAutospacing="0" w:after="0" w:afterAutospacing="0"/>
              <w:cnfStyle w:val="100000000000" w:firstRow="1" w:lastRow="0" w:firstColumn="0" w:lastColumn="0" w:oddVBand="0" w:evenVBand="0" w:oddHBand="0" w:evenHBand="0" w:firstRowFirstColumn="0" w:firstRowLastColumn="0" w:lastRowFirstColumn="0" w:lastRowLastColumn="0"/>
              <w:rPr>
                <w:sz w:val="20"/>
                <w:szCs w:val="20"/>
              </w:rPr>
            </w:pPr>
            <w:r>
              <w:rPr>
                <w:sz w:val="20"/>
                <w:szCs w:val="20"/>
              </w:rPr>
              <w:t>n</w:t>
            </w:r>
          </w:p>
        </w:tc>
        <w:tc>
          <w:tcPr>
            <w:tcW w:w="1890" w:type="dxa"/>
            <w:noWrap/>
            <w:hideMark/>
          </w:tcPr>
          <w:p w:rsidR="00587374" w:rsidRDefault="00587374">
            <w:pPr>
              <w:spacing w:before="0" w:beforeAutospacing="0" w:after="0" w:afterAutospacing="0"/>
              <w:cnfStyle w:val="100000000000" w:firstRow="1" w:lastRow="0" w:firstColumn="0" w:lastColumn="0" w:oddVBand="0" w:evenVBand="0" w:oddHBand="0" w:evenHBand="0" w:firstRowFirstColumn="0" w:firstRowLastColumn="0" w:lastRowFirstColumn="0" w:lastRowLastColumn="0"/>
              <w:rPr>
                <w:sz w:val="20"/>
                <w:szCs w:val="20"/>
              </w:rPr>
            </w:pPr>
            <w:r>
              <w:rPr>
                <w:sz w:val="20"/>
                <w:szCs w:val="20"/>
              </w:rPr>
              <w:t>F test</w:t>
            </w:r>
          </w:p>
        </w:tc>
      </w:tr>
      <w:tr w:rsidR="00587374" w:rsidTr="005873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40" w:type="dxa"/>
            <w:tcBorders>
              <w:top w:val="nil"/>
              <w:bottom w:val="nil"/>
            </w:tcBorders>
            <w:noWrap/>
            <w:hideMark/>
          </w:tcPr>
          <w:p w:rsidR="00587374" w:rsidRDefault="00587374">
            <w:pPr>
              <w:rPr>
                <w:sz w:val="20"/>
                <w:szCs w:val="20"/>
              </w:rPr>
            </w:pPr>
            <w:r>
              <w:rPr>
                <w:sz w:val="20"/>
                <w:szCs w:val="20"/>
              </w:rPr>
              <w:t>01-12</w:t>
            </w:r>
          </w:p>
        </w:tc>
        <w:tc>
          <w:tcPr>
            <w:tcW w:w="1650" w:type="dxa"/>
            <w:tcBorders>
              <w:top w:val="nil"/>
              <w:bottom w:val="nil"/>
            </w:tcBorders>
            <w:noWrap/>
            <w:hideMark/>
          </w:tcPr>
          <w:p w:rsidR="00587374" w:rsidRDefault="00587374">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23.7</w:t>
            </w:r>
          </w:p>
        </w:tc>
        <w:tc>
          <w:tcPr>
            <w:tcW w:w="810" w:type="dxa"/>
            <w:tcBorders>
              <w:top w:val="nil"/>
              <w:bottom w:val="nil"/>
            </w:tcBorders>
            <w:noWrap/>
            <w:hideMark/>
          </w:tcPr>
          <w:p w:rsidR="00587374" w:rsidRDefault="00587374">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218</w:t>
            </w:r>
          </w:p>
        </w:tc>
        <w:tc>
          <w:tcPr>
            <w:tcW w:w="1890" w:type="dxa"/>
            <w:tcBorders>
              <w:top w:val="nil"/>
              <w:bottom w:val="nil"/>
            </w:tcBorders>
            <w:noWrap/>
            <w:hideMark/>
          </w:tcPr>
          <w:p w:rsidR="00587374" w:rsidRDefault="00587374">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&lt;.01</w:t>
            </w:r>
          </w:p>
        </w:tc>
      </w:tr>
      <w:tr w:rsidR="00587374" w:rsidTr="00587374">
        <w:trPr>
          <w:trHeight w:val="300"/>
        </w:trPr>
        <w:tc>
          <w:tcPr>
            <w:cnfStyle w:val="001000000000" w:firstRow="0" w:lastRow="0" w:firstColumn="1" w:lastColumn="0" w:oddVBand="0" w:evenVBand="0" w:oddHBand="0" w:evenHBand="0" w:firstRowFirstColumn="0" w:firstRowLastColumn="0" w:lastRowFirstColumn="0" w:lastRowLastColumn="0"/>
            <w:tcW w:w="1940" w:type="dxa"/>
            <w:tcBorders>
              <w:top w:val="nil"/>
              <w:left w:val="nil"/>
              <w:bottom w:val="nil"/>
              <w:right w:val="nil"/>
            </w:tcBorders>
            <w:noWrap/>
            <w:hideMark/>
          </w:tcPr>
          <w:p w:rsidR="00587374" w:rsidRDefault="00587374">
            <w:pPr>
              <w:rPr>
                <w:sz w:val="20"/>
                <w:szCs w:val="20"/>
              </w:rPr>
            </w:pPr>
            <w:r>
              <w:rPr>
                <w:sz w:val="20"/>
                <w:szCs w:val="20"/>
              </w:rPr>
              <w:t>13-24</w:t>
            </w:r>
          </w:p>
        </w:tc>
        <w:tc>
          <w:tcPr>
            <w:tcW w:w="1650" w:type="dxa"/>
            <w:tcBorders>
              <w:top w:val="nil"/>
              <w:left w:val="nil"/>
              <w:bottom w:val="nil"/>
              <w:right w:val="nil"/>
            </w:tcBorders>
            <w:noWrap/>
            <w:hideMark/>
          </w:tcPr>
          <w:p w:rsidR="00587374" w:rsidRDefault="00587374">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19.9</w:t>
            </w:r>
          </w:p>
        </w:tc>
        <w:tc>
          <w:tcPr>
            <w:tcW w:w="810" w:type="dxa"/>
            <w:tcBorders>
              <w:top w:val="nil"/>
              <w:left w:val="nil"/>
              <w:bottom w:val="nil"/>
              <w:right w:val="nil"/>
            </w:tcBorders>
            <w:noWrap/>
            <w:hideMark/>
          </w:tcPr>
          <w:p w:rsidR="00587374" w:rsidRDefault="00587374">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1177</w:t>
            </w:r>
          </w:p>
        </w:tc>
        <w:tc>
          <w:tcPr>
            <w:tcW w:w="1890" w:type="dxa"/>
            <w:tcBorders>
              <w:top w:val="nil"/>
              <w:left w:val="nil"/>
              <w:bottom w:val="nil"/>
              <w:right w:val="nil"/>
            </w:tcBorders>
            <w:noWrap/>
            <w:hideMark/>
          </w:tcPr>
          <w:p w:rsidR="00587374" w:rsidRDefault="00587374">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Comparison</w:t>
            </w:r>
          </w:p>
        </w:tc>
      </w:tr>
      <w:tr w:rsidR="00587374" w:rsidTr="005873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40" w:type="dxa"/>
            <w:tcBorders>
              <w:top w:val="nil"/>
              <w:bottom w:val="nil"/>
            </w:tcBorders>
            <w:noWrap/>
            <w:hideMark/>
          </w:tcPr>
          <w:p w:rsidR="00587374" w:rsidRDefault="00587374">
            <w:pPr>
              <w:rPr>
                <w:sz w:val="20"/>
                <w:szCs w:val="20"/>
              </w:rPr>
            </w:pPr>
            <w:r>
              <w:rPr>
                <w:sz w:val="20"/>
                <w:szCs w:val="20"/>
              </w:rPr>
              <w:t>25-36</w:t>
            </w:r>
          </w:p>
        </w:tc>
        <w:tc>
          <w:tcPr>
            <w:tcW w:w="1650" w:type="dxa"/>
            <w:tcBorders>
              <w:top w:val="nil"/>
              <w:bottom w:val="nil"/>
            </w:tcBorders>
            <w:noWrap/>
            <w:hideMark/>
          </w:tcPr>
          <w:p w:rsidR="00587374" w:rsidRDefault="00587374">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12.6</w:t>
            </w:r>
          </w:p>
        </w:tc>
        <w:tc>
          <w:tcPr>
            <w:tcW w:w="810" w:type="dxa"/>
            <w:tcBorders>
              <w:top w:val="nil"/>
              <w:bottom w:val="nil"/>
            </w:tcBorders>
            <w:noWrap/>
            <w:hideMark/>
          </w:tcPr>
          <w:p w:rsidR="00587374" w:rsidRDefault="00587374">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825</w:t>
            </w:r>
          </w:p>
        </w:tc>
        <w:tc>
          <w:tcPr>
            <w:tcW w:w="1890" w:type="dxa"/>
            <w:tcBorders>
              <w:top w:val="nil"/>
              <w:bottom w:val="nil"/>
            </w:tcBorders>
            <w:noWrap/>
            <w:hideMark/>
          </w:tcPr>
          <w:p w:rsidR="00587374" w:rsidRDefault="00587374">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&lt;.01</w:t>
            </w:r>
          </w:p>
        </w:tc>
      </w:tr>
      <w:tr w:rsidR="00587374" w:rsidTr="00587374">
        <w:trPr>
          <w:trHeight w:val="300"/>
        </w:trPr>
        <w:tc>
          <w:tcPr>
            <w:cnfStyle w:val="001000000000" w:firstRow="0" w:lastRow="0" w:firstColumn="1" w:lastColumn="0" w:oddVBand="0" w:evenVBand="0" w:oddHBand="0" w:evenHBand="0" w:firstRowFirstColumn="0" w:firstRowLastColumn="0" w:lastRowFirstColumn="0" w:lastRowLastColumn="0"/>
            <w:tcW w:w="1940" w:type="dxa"/>
            <w:tcBorders>
              <w:top w:val="nil"/>
              <w:left w:val="nil"/>
              <w:bottom w:val="nil"/>
              <w:right w:val="nil"/>
            </w:tcBorders>
            <w:noWrap/>
            <w:hideMark/>
          </w:tcPr>
          <w:p w:rsidR="00587374" w:rsidRDefault="00587374">
            <w:pPr>
              <w:rPr>
                <w:sz w:val="20"/>
                <w:szCs w:val="20"/>
              </w:rPr>
            </w:pPr>
            <w:r>
              <w:rPr>
                <w:sz w:val="20"/>
                <w:szCs w:val="20"/>
              </w:rPr>
              <w:t>36-48</w:t>
            </w:r>
          </w:p>
        </w:tc>
        <w:tc>
          <w:tcPr>
            <w:tcW w:w="1650" w:type="dxa"/>
            <w:tcBorders>
              <w:top w:val="nil"/>
              <w:left w:val="nil"/>
              <w:bottom w:val="nil"/>
              <w:right w:val="nil"/>
            </w:tcBorders>
            <w:noWrap/>
            <w:hideMark/>
          </w:tcPr>
          <w:p w:rsidR="00587374" w:rsidRDefault="00587374">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4.8</w:t>
            </w:r>
          </w:p>
        </w:tc>
        <w:tc>
          <w:tcPr>
            <w:tcW w:w="810" w:type="dxa"/>
            <w:tcBorders>
              <w:top w:val="nil"/>
              <w:left w:val="nil"/>
              <w:bottom w:val="nil"/>
              <w:right w:val="nil"/>
            </w:tcBorders>
            <w:noWrap/>
            <w:hideMark/>
          </w:tcPr>
          <w:p w:rsidR="00587374" w:rsidRDefault="00587374">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94</w:t>
            </w:r>
          </w:p>
        </w:tc>
        <w:tc>
          <w:tcPr>
            <w:tcW w:w="1890" w:type="dxa"/>
            <w:tcBorders>
              <w:top w:val="nil"/>
              <w:left w:val="nil"/>
              <w:bottom w:val="nil"/>
              <w:right w:val="nil"/>
            </w:tcBorders>
            <w:noWrap/>
            <w:hideMark/>
          </w:tcPr>
          <w:p w:rsidR="00587374" w:rsidRDefault="00587374">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&lt;.01</w:t>
            </w:r>
          </w:p>
        </w:tc>
      </w:tr>
      <w:tr w:rsidR="00587374" w:rsidTr="005873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40" w:type="dxa"/>
            <w:tcBorders>
              <w:top w:val="nil"/>
              <w:bottom w:val="single" w:sz="8" w:space="0" w:color="9BBB59" w:themeColor="accent3"/>
            </w:tcBorders>
            <w:noWrap/>
            <w:hideMark/>
          </w:tcPr>
          <w:p w:rsidR="00587374" w:rsidRDefault="00587374">
            <w:pPr>
              <w:rPr>
                <w:rFonts w:cs="Times New Roman"/>
              </w:rPr>
            </w:pPr>
          </w:p>
        </w:tc>
        <w:tc>
          <w:tcPr>
            <w:tcW w:w="1650" w:type="dxa"/>
            <w:tcBorders>
              <w:top w:val="nil"/>
              <w:bottom w:val="single" w:sz="8" w:space="0" w:color="9BBB59" w:themeColor="accent3"/>
            </w:tcBorders>
            <w:noWrap/>
            <w:hideMark/>
          </w:tcPr>
          <w:p w:rsidR="00587374" w:rsidRDefault="00587374">
            <w:pPr>
              <w:cnfStyle w:val="000000100000" w:firstRow="0" w:lastRow="0" w:firstColumn="0" w:lastColumn="0" w:oddVBand="0" w:evenVBand="0" w:oddHBand="1" w:evenHBand="0" w:firstRowFirstColumn="0" w:firstRowLastColumn="0" w:lastRowFirstColumn="0" w:lastRowLastColumn="0"/>
              <w:rPr>
                <w:spacing w:val="4"/>
                <w:sz w:val="20"/>
                <w:szCs w:val="20"/>
              </w:rPr>
            </w:pPr>
            <w:r>
              <w:rPr>
                <w:sz w:val="20"/>
                <w:szCs w:val="20"/>
              </w:rPr>
              <w:t>17.1</w:t>
            </w:r>
          </w:p>
        </w:tc>
        <w:tc>
          <w:tcPr>
            <w:tcW w:w="810" w:type="dxa"/>
            <w:tcBorders>
              <w:top w:val="nil"/>
              <w:bottom w:val="single" w:sz="8" w:space="0" w:color="9BBB59" w:themeColor="accent3"/>
            </w:tcBorders>
            <w:noWrap/>
            <w:hideMark/>
          </w:tcPr>
          <w:p w:rsidR="00587374" w:rsidRDefault="00587374">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2314</w:t>
            </w:r>
          </w:p>
        </w:tc>
        <w:tc>
          <w:tcPr>
            <w:tcW w:w="1890" w:type="dxa"/>
            <w:tcBorders>
              <w:top w:val="nil"/>
              <w:bottom w:val="single" w:sz="8" w:space="0" w:color="9BBB59" w:themeColor="accent3"/>
            </w:tcBorders>
            <w:noWrap/>
            <w:hideMark/>
          </w:tcPr>
          <w:p w:rsidR="00587374" w:rsidRDefault="00587374">
            <w:pPr>
              <w:cnfStyle w:val="000000100000" w:firstRow="0" w:lastRow="0" w:firstColumn="0" w:lastColumn="0" w:oddVBand="0" w:evenVBand="0" w:oddHBand="1" w:evenHBand="0" w:firstRowFirstColumn="0" w:firstRowLastColumn="0" w:lastRowFirstColumn="0" w:lastRowLastColumn="0"/>
              <w:rPr>
                <w:rFonts w:cs="Times New Roman"/>
              </w:rPr>
            </w:pPr>
          </w:p>
        </w:tc>
      </w:tr>
    </w:tbl>
    <w:p w:rsidR="00587374" w:rsidRDefault="00587374" w:rsidP="00587374">
      <w:pPr>
        <w:spacing w:after="0" w:line="240" w:lineRule="auto"/>
        <w:rPr>
          <w:rFonts w:cstheme="minorHAnsi"/>
          <w:bCs/>
        </w:rPr>
      </w:pPr>
    </w:p>
    <w:p w:rsidR="00587374" w:rsidRDefault="00587374" w:rsidP="00587374">
      <w:pPr>
        <w:spacing w:after="0" w:line="240" w:lineRule="auto"/>
        <w:rPr>
          <w:rFonts w:cstheme="minorHAnsi"/>
          <w:bCs/>
        </w:rPr>
      </w:pPr>
    </w:p>
    <w:p w:rsidR="00587374" w:rsidRDefault="00587374" w:rsidP="00587374">
      <w:pPr>
        <w:spacing w:after="0" w:line="240" w:lineRule="auto"/>
        <w:rPr>
          <w:rFonts w:cstheme="minorHAnsi"/>
          <w:bCs/>
        </w:rPr>
      </w:pPr>
      <w:r>
        <w:rPr>
          <w:rFonts w:cstheme="minorHAnsi"/>
          <w:bCs/>
        </w:rPr>
        <w:t xml:space="preserve">There is not a strong association (p &lt; 0.01) between patient BMI and the Average Change in Functional Status.   There is a trend implying that the higher the </w:t>
      </w:r>
      <w:proofErr w:type="gramStart"/>
      <w:r>
        <w:rPr>
          <w:rFonts w:cstheme="minorHAnsi"/>
          <w:bCs/>
        </w:rPr>
        <w:t>BMI,</w:t>
      </w:r>
      <w:proofErr w:type="gramEnd"/>
      <w:r>
        <w:rPr>
          <w:rFonts w:cstheme="minorHAnsi"/>
          <w:bCs/>
        </w:rPr>
        <w:t xml:space="preserve"> the greater the change in functional status but it does not meet the criteria for inclusion.</w:t>
      </w:r>
    </w:p>
    <w:tbl>
      <w:tblPr>
        <w:tblStyle w:val="LightShading-Accent1"/>
        <w:tblW w:w="0" w:type="auto"/>
        <w:tblInd w:w="0" w:type="dxa"/>
        <w:tblLayout w:type="fixed"/>
        <w:tblLook w:val="04A0" w:firstRow="1" w:lastRow="0" w:firstColumn="1" w:lastColumn="0" w:noHBand="0" w:noVBand="1"/>
      </w:tblPr>
      <w:tblGrid>
        <w:gridCol w:w="1998"/>
        <w:gridCol w:w="2042"/>
        <w:gridCol w:w="1260"/>
        <w:gridCol w:w="1260"/>
      </w:tblGrid>
      <w:tr w:rsidR="00587374" w:rsidTr="00587374">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8" w:type="dxa"/>
            <w:noWrap/>
            <w:hideMark/>
          </w:tcPr>
          <w:p w:rsidR="00587374" w:rsidRDefault="00587374">
            <w:pPr>
              <w:spacing w:after="0"/>
              <w:rPr>
                <w:rFonts w:cs="Times New Roman"/>
              </w:rPr>
            </w:pPr>
          </w:p>
        </w:tc>
        <w:tc>
          <w:tcPr>
            <w:tcW w:w="2042" w:type="dxa"/>
            <w:noWrap/>
            <w:hideMark/>
          </w:tcPr>
          <w:p w:rsidR="00587374" w:rsidRDefault="00587374">
            <w:pPr>
              <w:spacing w:before="0" w:beforeAutospacing="0" w:after="0" w:afterAutospacing="0"/>
              <w:cnfStyle w:val="100000000000" w:firstRow="1" w:lastRow="0" w:firstColumn="0" w:lastColumn="0" w:oddVBand="0" w:evenVBand="0" w:oddHBand="0" w:evenHBand="0" w:firstRowFirstColumn="0" w:firstRowLastColumn="0" w:lastRowFirstColumn="0" w:lastRowLastColumn="0"/>
              <w:rPr>
                <w:spacing w:val="4"/>
                <w:sz w:val="20"/>
                <w:szCs w:val="20"/>
              </w:rPr>
            </w:pPr>
            <w:r>
              <w:rPr>
                <w:sz w:val="20"/>
                <w:szCs w:val="20"/>
              </w:rPr>
              <w:t>Average Change</w:t>
            </w:r>
          </w:p>
        </w:tc>
        <w:tc>
          <w:tcPr>
            <w:tcW w:w="1260" w:type="dxa"/>
            <w:noWrap/>
            <w:hideMark/>
          </w:tcPr>
          <w:p w:rsidR="00587374" w:rsidRDefault="00587374">
            <w:pPr>
              <w:spacing w:before="0" w:beforeAutospacing="0" w:after="0" w:afterAutospacing="0"/>
              <w:cnfStyle w:val="100000000000" w:firstRow="1" w:lastRow="0" w:firstColumn="0" w:lastColumn="0" w:oddVBand="0" w:evenVBand="0" w:oddHBand="0" w:evenHBand="0" w:firstRowFirstColumn="0" w:firstRowLastColumn="0" w:lastRowFirstColumn="0" w:lastRowLastColumn="0"/>
              <w:rPr>
                <w:sz w:val="20"/>
                <w:szCs w:val="20"/>
              </w:rPr>
            </w:pPr>
            <w:r>
              <w:rPr>
                <w:sz w:val="20"/>
                <w:szCs w:val="20"/>
              </w:rPr>
              <w:t>n</w:t>
            </w:r>
          </w:p>
        </w:tc>
        <w:tc>
          <w:tcPr>
            <w:tcW w:w="1260" w:type="dxa"/>
            <w:noWrap/>
            <w:hideMark/>
          </w:tcPr>
          <w:p w:rsidR="00587374" w:rsidRDefault="00587374">
            <w:pPr>
              <w:spacing w:before="0" w:beforeAutospacing="0" w:after="0" w:afterAutospacing="0"/>
              <w:cnfStyle w:val="100000000000" w:firstRow="1" w:lastRow="0" w:firstColumn="0" w:lastColumn="0" w:oddVBand="0" w:evenVBand="0" w:oddHBand="0" w:evenHBand="0" w:firstRowFirstColumn="0" w:firstRowLastColumn="0" w:lastRowFirstColumn="0" w:lastRowLastColumn="0"/>
              <w:rPr>
                <w:sz w:val="20"/>
                <w:szCs w:val="20"/>
              </w:rPr>
            </w:pPr>
            <w:r>
              <w:rPr>
                <w:sz w:val="20"/>
                <w:szCs w:val="20"/>
              </w:rPr>
              <w:t>F test</w:t>
            </w:r>
          </w:p>
        </w:tc>
      </w:tr>
      <w:tr w:rsidR="00587374" w:rsidTr="005873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8" w:type="dxa"/>
            <w:tcBorders>
              <w:top w:val="nil"/>
              <w:bottom w:val="nil"/>
            </w:tcBorders>
            <w:noWrap/>
            <w:hideMark/>
          </w:tcPr>
          <w:p w:rsidR="00587374" w:rsidRDefault="00587374">
            <w:pPr>
              <w:rPr>
                <w:sz w:val="20"/>
                <w:szCs w:val="20"/>
              </w:rPr>
            </w:pPr>
            <w:r>
              <w:rPr>
                <w:sz w:val="20"/>
                <w:szCs w:val="20"/>
              </w:rPr>
              <w:t>1 Under</w:t>
            </w:r>
          </w:p>
        </w:tc>
        <w:tc>
          <w:tcPr>
            <w:tcW w:w="2042" w:type="dxa"/>
            <w:tcBorders>
              <w:top w:val="nil"/>
              <w:bottom w:val="nil"/>
            </w:tcBorders>
            <w:noWrap/>
            <w:hideMark/>
          </w:tcPr>
          <w:p w:rsidR="00587374" w:rsidRDefault="00587374">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16</w:t>
            </w:r>
          </w:p>
        </w:tc>
        <w:tc>
          <w:tcPr>
            <w:tcW w:w="1260" w:type="dxa"/>
            <w:tcBorders>
              <w:top w:val="nil"/>
              <w:bottom w:val="nil"/>
            </w:tcBorders>
            <w:noWrap/>
            <w:hideMark/>
          </w:tcPr>
          <w:p w:rsidR="00587374" w:rsidRDefault="00587374">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6</w:t>
            </w:r>
          </w:p>
        </w:tc>
        <w:tc>
          <w:tcPr>
            <w:tcW w:w="1260" w:type="dxa"/>
            <w:tcBorders>
              <w:top w:val="nil"/>
              <w:bottom w:val="nil"/>
            </w:tcBorders>
            <w:noWrap/>
            <w:hideMark/>
          </w:tcPr>
          <w:p w:rsidR="00587374" w:rsidRDefault="00587374">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0.03</w:t>
            </w:r>
          </w:p>
        </w:tc>
      </w:tr>
      <w:tr w:rsidR="00587374" w:rsidTr="00587374">
        <w:trPr>
          <w:trHeight w:val="300"/>
        </w:trPr>
        <w:tc>
          <w:tcPr>
            <w:cnfStyle w:val="001000000000" w:firstRow="0" w:lastRow="0" w:firstColumn="1" w:lastColumn="0" w:oddVBand="0" w:evenVBand="0" w:oddHBand="0" w:evenHBand="0" w:firstRowFirstColumn="0" w:firstRowLastColumn="0" w:lastRowFirstColumn="0" w:lastRowLastColumn="0"/>
            <w:tcW w:w="1998" w:type="dxa"/>
            <w:tcBorders>
              <w:top w:val="nil"/>
              <w:left w:val="nil"/>
              <w:bottom w:val="nil"/>
              <w:right w:val="nil"/>
            </w:tcBorders>
            <w:noWrap/>
            <w:hideMark/>
          </w:tcPr>
          <w:p w:rsidR="00587374" w:rsidRDefault="00587374">
            <w:pPr>
              <w:rPr>
                <w:sz w:val="20"/>
                <w:szCs w:val="20"/>
              </w:rPr>
            </w:pPr>
            <w:r>
              <w:rPr>
                <w:sz w:val="20"/>
                <w:szCs w:val="20"/>
              </w:rPr>
              <w:t>2 - Normal</w:t>
            </w:r>
          </w:p>
        </w:tc>
        <w:tc>
          <w:tcPr>
            <w:tcW w:w="2042" w:type="dxa"/>
            <w:tcBorders>
              <w:top w:val="nil"/>
              <w:left w:val="nil"/>
              <w:bottom w:val="nil"/>
              <w:right w:val="nil"/>
            </w:tcBorders>
            <w:noWrap/>
            <w:hideMark/>
          </w:tcPr>
          <w:p w:rsidR="00587374" w:rsidRDefault="00587374">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15.9</w:t>
            </w:r>
          </w:p>
        </w:tc>
        <w:tc>
          <w:tcPr>
            <w:tcW w:w="1260" w:type="dxa"/>
            <w:tcBorders>
              <w:top w:val="nil"/>
              <w:left w:val="nil"/>
              <w:bottom w:val="nil"/>
              <w:right w:val="nil"/>
            </w:tcBorders>
            <w:noWrap/>
            <w:hideMark/>
          </w:tcPr>
          <w:p w:rsidR="00587374" w:rsidRDefault="00587374">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152</w:t>
            </w:r>
          </w:p>
        </w:tc>
        <w:tc>
          <w:tcPr>
            <w:tcW w:w="1260" w:type="dxa"/>
            <w:tcBorders>
              <w:top w:val="nil"/>
              <w:left w:val="nil"/>
              <w:bottom w:val="nil"/>
              <w:right w:val="nil"/>
            </w:tcBorders>
            <w:noWrap/>
            <w:hideMark/>
          </w:tcPr>
          <w:p w:rsidR="00587374" w:rsidRDefault="00587374">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0.008</w:t>
            </w:r>
          </w:p>
        </w:tc>
      </w:tr>
      <w:tr w:rsidR="00587374" w:rsidTr="005873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8" w:type="dxa"/>
            <w:tcBorders>
              <w:top w:val="nil"/>
              <w:bottom w:val="nil"/>
            </w:tcBorders>
            <w:noWrap/>
            <w:hideMark/>
          </w:tcPr>
          <w:p w:rsidR="00587374" w:rsidRDefault="00587374">
            <w:pPr>
              <w:rPr>
                <w:sz w:val="20"/>
                <w:szCs w:val="20"/>
              </w:rPr>
            </w:pPr>
            <w:r>
              <w:rPr>
                <w:sz w:val="20"/>
                <w:szCs w:val="20"/>
              </w:rPr>
              <w:t>3 - OW Grace 1</w:t>
            </w:r>
          </w:p>
        </w:tc>
        <w:tc>
          <w:tcPr>
            <w:tcW w:w="2042" w:type="dxa"/>
            <w:tcBorders>
              <w:top w:val="nil"/>
              <w:bottom w:val="nil"/>
            </w:tcBorders>
            <w:noWrap/>
            <w:hideMark/>
          </w:tcPr>
          <w:p w:rsidR="00587374" w:rsidRDefault="00587374">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16.8</w:t>
            </w:r>
          </w:p>
        </w:tc>
        <w:tc>
          <w:tcPr>
            <w:tcW w:w="1260" w:type="dxa"/>
            <w:tcBorders>
              <w:top w:val="nil"/>
              <w:bottom w:val="nil"/>
            </w:tcBorders>
            <w:noWrap/>
            <w:hideMark/>
          </w:tcPr>
          <w:p w:rsidR="00587374" w:rsidRDefault="00587374">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598</w:t>
            </w:r>
          </w:p>
        </w:tc>
        <w:tc>
          <w:tcPr>
            <w:tcW w:w="1260" w:type="dxa"/>
            <w:tcBorders>
              <w:top w:val="nil"/>
              <w:bottom w:val="nil"/>
            </w:tcBorders>
            <w:noWrap/>
            <w:hideMark/>
          </w:tcPr>
          <w:p w:rsidR="00587374" w:rsidRDefault="00587374">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0.142</w:t>
            </w:r>
          </w:p>
        </w:tc>
      </w:tr>
      <w:tr w:rsidR="00587374" w:rsidTr="00587374">
        <w:trPr>
          <w:trHeight w:val="300"/>
        </w:trPr>
        <w:tc>
          <w:tcPr>
            <w:cnfStyle w:val="001000000000" w:firstRow="0" w:lastRow="0" w:firstColumn="1" w:lastColumn="0" w:oddVBand="0" w:evenVBand="0" w:oddHBand="0" w:evenHBand="0" w:firstRowFirstColumn="0" w:firstRowLastColumn="0" w:lastRowFirstColumn="0" w:lastRowLastColumn="0"/>
            <w:tcW w:w="1998" w:type="dxa"/>
            <w:tcBorders>
              <w:top w:val="nil"/>
              <w:left w:val="nil"/>
              <w:bottom w:val="nil"/>
              <w:right w:val="nil"/>
            </w:tcBorders>
            <w:noWrap/>
            <w:hideMark/>
          </w:tcPr>
          <w:p w:rsidR="00587374" w:rsidRDefault="00587374">
            <w:pPr>
              <w:rPr>
                <w:sz w:val="20"/>
                <w:szCs w:val="20"/>
              </w:rPr>
            </w:pPr>
            <w:r>
              <w:rPr>
                <w:sz w:val="20"/>
                <w:szCs w:val="20"/>
              </w:rPr>
              <w:t>4 - OW grade 2</w:t>
            </w:r>
          </w:p>
        </w:tc>
        <w:tc>
          <w:tcPr>
            <w:tcW w:w="2042" w:type="dxa"/>
            <w:tcBorders>
              <w:top w:val="nil"/>
              <w:left w:val="nil"/>
              <w:bottom w:val="nil"/>
              <w:right w:val="nil"/>
            </w:tcBorders>
            <w:noWrap/>
            <w:hideMark/>
          </w:tcPr>
          <w:p w:rsidR="00587374" w:rsidRDefault="00587374">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16.8</w:t>
            </w:r>
          </w:p>
        </w:tc>
        <w:tc>
          <w:tcPr>
            <w:tcW w:w="1260" w:type="dxa"/>
            <w:tcBorders>
              <w:top w:val="nil"/>
              <w:left w:val="nil"/>
              <w:bottom w:val="nil"/>
              <w:right w:val="nil"/>
            </w:tcBorders>
            <w:noWrap/>
            <w:hideMark/>
          </w:tcPr>
          <w:p w:rsidR="00587374" w:rsidRDefault="00587374">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1064</w:t>
            </w:r>
          </w:p>
        </w:tc>
        <w:tc>
          <w:tcPr>
            <w:tcW w:w="1260" w:type="dxa"/>
            <w:tcBorders>
              <w:top w:val="nil"/>
              <w:left w:val="nil"/>
              <w:bottom w:val="nil"/>
              <w:right w:val="nil"/>
            </w:tcBorders>
            <w:noWrap/>
            <w:hideMark/>
          </w:tcPr>
          <w:p w:rsidR="00587374" w:rsidRDefault="00587374">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Comparison</w:t>
            </w:r>
          </w:p>
        </w:tc>
      </w:tr>
      <w:tr w:rsidR="00587374" w:rsidTr="005873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98" w:type="dxa"/>
            <w:tcBorders>
              <w:top w:val="nil"/>
              <w:bottom w:val="single" w:sz="8" w:space="0" w:color="4F81BD" w:themeColor="accent1"/>
            </w:tcBorders>
            <w:noWrap/>
            <w:hideMark/>
          </w:tcPr>
          <w:p w:rsidR="00587374" w:rsidRDefault="00587374">
            <w:pPr>
              <w:rPr>
                <w:sz w:val="20"/>
                <w:szCs w:val="20"/>
              </w:rPr>
            </w:pPr>
            <w:r>
              <w:rPr>
                <w:sz w:val="20"/>
                <w:szCs w:val="20"/>
              </w:rPr>
              <w:t>5 - OW Grade 3</w:t>
            </w:r>
          </w:p>
        </w:tc>
        <w:tc>
          <w:tcPr>
            <w:tcW w:w="2042" w:type="dxa"/>
            <w:tcBorders>
              <w:top w:val="nil"/>
              <w:bottom w:val="single" w:sz="8" w:space="0" w:color="4F81BD" w:themeColor="accent1"/>
            </w:tcBorders>
            <w:noWrap/>
            <w:hideMark/>
          </w:tcPr>
          <w:p w:rsidR="00587374" w:rsidRDefault="00587374">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17.9</w:t>
            </w:r>
          </w:p>
        </w:tc>
        <w:tc>
          <w:tcPr>
            <w:tcW w:w="1260" w:type="dxa"/>
            <w:tcBorders>
              <w:top w:val="nil"/>
              <w:bottom w:val="single" w:sz="8" w:space="0" w:color="4F81BD" w:themeColor="accent1"/>
            </w:tcBorders>
            <w:noWrap/>
            <w:hideMark/>
          </w:tcPr>
          <w:p w:rsidR="00587374" w:rsidRDefault="00587374">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336</w:t>
            </w:r>
          </w:p>
        </w:tc>
        <w:tc>
          <w:tcPr>
            <w:tcW w:w="1260" w:type="dxa"/>
            <w:tcBorders>
              <w:top w:val="nil"/>
              <w:bottom w:val="single" w:sz="8" w:space="0" w:color="4F81BD" w:themeColor="accent1"/>
            </w:tcBorders>
            <w:noWrap/>
            <w:hideMark/>
          </w:tcPr>
          <w:p w:rsidR="00587374" w:rsidRDefault="00587374">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0.262</w:t>
            </w:r>
          </w:p>
        </w:tc>
      </w:tr>
    </w:tbl>
    <w:p w:rsidR="00587374" w:rsidRDefault="00587374" w:rsidP="00587374">
      <w:pPr>
        <w:spacing w:after="0" w:line="240" w:lineRule="auto"/>
        <w:rPr>
          <w:rFonts w:cstheme="minorHAnsi"/>
          <w:bCs/>
        </w:rPr>
      </w:pPr>
    </w:p>
    <w:p w:rsidR="00587374" w:rsidRDefault="00587374" w:rsidP="00587374">
      <w:pPr>
        <w:spacing w:after="0" w:line="240" w:lineRule="auto"/>
        <w:rPr>
          <w:rFonts w:cstheme="minorHAnsi"/>
          <w:bCs/>
        </w:rPr>
      </w:pPr>
      <w:r>
        <w:rPr>
          <w:rFonts w:cstheme="minorHAnsi"/>
          <w:bCs/>
        </w:rPr>
        <w:t>Additional factors studied, not found to be empirically associated.</w:t>
      </w:r>
    </w:p>
    <w:p w:rsidR="00587374" w:rsidRDefault="00587374" w:rsidP="00587374">
      <w:pPr>
        <w:pStyle w:val="NoSpacing"/>
        <w:rPr>
          <w:b/>
          <w:sz w:val="28"/>
          <w:szCs w:val="28"/>
        </w:rPr>
      </w:pPr>
    </w:p>
    <w:tbl>
      <w:tblPr>
        <w:tblStyle w:val="LightShading-Accent3"/>
        <w:tblW w:w="0" w:type="auto"/>
        <w:tblInd w:w="0" w:type="dxa"/>
        <w:tblLayout w:type="fixed"/>
        <w:tblLook w:val="04A0" w:firstRow="1" w:lastRow="0" w:firstColumn="1" w:lastColumn="0" w:noHBand="0" w:noVBand="1"/>
      </w:tblPr>
      <w:tblGrid>
        <w:gridCol w:w="1638"/>
        <w:gridCol w:w="1980"/>
        <w:gridCol w:w="900"/>
        <w:gridCol w:w="1620"/>
      </w:tblGrid>
      <w:tr w:rsidR="00587374" w:rsidTr="00587374">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638" w:type="dxa"/>
            <w:noWrap/>
            <w:hideMark/>
          </w:tcPr>
          <w:p w:rsidR="00587374" w:rsidRDefault="00587374">
            <w:pPr>
              <w:spacing w:before="0" w:beforeAutospacing="0" w:after="0" w:afterAutospacing="0"/>
              <w:rPr>
                <w:sz w:val="20"/>
                <w:szCs w:val="20"/>
              </w:rPr>
            </w:pPr>
            <w:r>
              <w:rPr>
                <w:sz w:val="20"/>
                <w:szCs w:val="20"/>
              </w:rPr>
              <w:t>Age</w:t>
            </w:r>
          </w:p>
        </w:tc>
        <w:tc>
          <w:tcPr>
            <w:tcW w:w="1980" w:type="dxa"/>
            <w:noWrap/>
            <w:hideMark/>
          </w:tcPr>
          <w:p w:rsidR="00587374" w:rsidRDefault="00587374">
            <w:pPr>
              <w:spacing w:before="0" w:beforeAutospacing="0" w:after="0" w:afterAutospacing="0"/>
              <w:cnfStyle w:val="100000000000" w:firstRow="1" w:lastRow="0" w:firstColumn="0" w:lastColumn="0" w:oddVBand="0" w:evenVBand="0" w:oddHBand="0" w:evenHBand="0" w:firstRowFirstColumn="0" w:firstRowLastColumn="0" w:lastRowFirstColumn="0" w:lastRowLastColumn="0"/>
              <w:rPr>
                <w:sz w:val="20"/>
                <w:szCs w:val="20"/>
              </w:rPr>
            </w:pPr>
            <w:r>
              <w:rPr>
                <w:sz w:val="20"/>
                <w:szCs w:val="20"/>
              </w:rPr>
              <w:t>Average Change</w:t>
            </w:r>
          </w:p>
        </w:tc>
        <w:tc>
          <w:tcPr>
            <w:tcW w:w="900" w:type="dxa"/>
            <w:noWrap/>
            <w:hideMark/>
          </w:tcPr>
          <w:p w:rsidR="00587374" w:rsidRDefault="00587374">
            <w:pPr>
              <w:spacing w:before="0" w:beforeAutospacing="0" w:after="0" w:afterAutospacing="0"/>
              <w:cnfStyle w:val="100000000000" w:firstRow="1" w:lastRow="0" w:firstColumn="0" w:lastColumn="0" w:oddVBand="0" w:evenVBand="0" w:oddHBand="0" w:evenHBand="0" w:firstRowFirstColumn="0" w:firstRowLastColumn="0" w:lastRowFirstColumn="0" w:lastRowLastColumn="0"/>
              <w:rPr>
                <w:sz w:val="20"/>
                <w:szCs w:val="20"/>
              </w:rPr>
            </w:pPr>
            <w:r>
              <w:rPr>
                <w:sz w:val="20"/>
                <w:szCs w:val="20"/>
              </w:rPr>
              <w:t>n</w:t>
            </w:r>
          </w:p>
        </w:tc>
        <w:tc>
          <w:tcPr>
            <w:tcW w:w="1620" w:type="dxa"/>
            <w:noWrap/>
            <w:hideMark/>
          </w:tcPr>
          <w:p w:rsidR="00587374" w:rsidRDefault="00587374">
            <w:pPr>
              <w:spacing w:before="0" w:beforeAutospacing="0" w:after="0" w:afterAutospacing="0"/>
              <w:cnfStyle w:val="100000000000" w:firstRow="1" w:lastRow="0" w:firstColumn="0" w:lastColumn="0" w:oddVBand="0" w:evenVBand="0" w:oddHBand="0" w:evenHBand="0" w:firstRowFirstColumn="0" w:firstRowLastColumn="0" w:lastRowFirstColumn="0" w:lastRowLastColumn="0"/>
              <w:rPr>
                <w:sz w:val="20"/>
                <w:szCs w:val="20"/>
              </w:rPr>
            </w:pPr>
            <w:r>
              <w:rPr>
                <w:sz w:val="20"/>
                <w:szCs w:val="20"/>
              </w:rPr>
              <w:t>F test</w:t>
            </w:r>
          </w:p>
        </w:tc>
      </w:tr>
      <w:tr w:rsidR="00587374" w:rsidTr="005873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638" w:type="dxa"/>
            <w:tcBorders>
              <w:top w:val="nil"/>
              <w:bottom w:val="nil"/>
            </w:tcBorders>
            <w:noWrap/>
            <w:hideMark/>
          </w:tcPr>
          <w:p w:rsidR="00587374" w:rsidRDefault="00587374">
            <w:pPr>
              <w:rPr>
                <w:sz w:val="20"/>
                <w:szCs w:val="20"/>
              </w:rPr>
            </w:pPr>
            <w:r>
              <w:rPr>
                <w:sz w:val="20"/>
                <w:szCs w:val="20"/>
              </w:rPr>
              <w:t>18-54</w:t>
            </w:r>
          </w:p>
        </w:tc>
        <w:tc>
          <w:tcPr>
            <w:tcW w:w="1980" w:type="dxa"/>
            <w:tcBorders>
              <w:top w:val="nil"/>
              <w:bottom w:val="nil"/>
            </w:tcBorders>
            <w:noWrap/>
            <w:hideMark/>
          </w:tcPr>
          <w:p w:rsidR="00587374" w:rsidRDefault="00587374">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16.8</w:t>
            </w:r>
          </w:p>
        </w:tc>
        <w:tc>
          <w:tcPr>
            <w:tcW w:w="900" w:type="dxa"/>
            <w:tcBorders>
              <w:top w:val="nil"/>
              <w:bottom w:val="nil"/>
            </w:tcBorders>
            <w:noWrap/>
            <w:hideMark/>
          </w:tcPr>
          <w:p w:rsidR="00587374" w:rsidRDefault="00587374">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189</w:t>
            </w:r>
          </w:p>
        </w:tc>
        <w:tc>
          <w:tcPr>
            <w:tcW w:w="1620" w:type="dxa"/>
            <w:tcBorders>
              <w:top w:val="nil"/>
              <w:bottom w:val="nil"/>
            </w:tcBorders>
            <w:noWrap/>
            <w:hideMark/>
          </w:tcPr>
          <w:p w:rsidR="00587374" w:rsidRDefault="00587374">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0.02</w:t>
            </w:r>
          </w:p>
        </w:tc>
      </w:tr>
      <w:tr w:rsidR="00587374" w:rsidTr="00587374">
        <w:trPr>
          <w:trHeight w:val="300"/>
        </w:trPr>
        <w:tc>
          <w:tcPr>
            <w:cnfStyle w:val="001000000000" w:firstRow="0" w:lastRow="0" w:firstColumn="1" w:lastColumn="0" w:oddVBand="0" w:evenVBand="0" w:oddHBand="0" w:evenHBand="0" w:firstRowFirstColumn="0" w:firstRowLastColumn="0" w:lastRowFirstColumn="0" w:lastRowLastColumn="0"/>
            <w:tcW w:w="1638" w:type="dxa"/>
            <w:tcBorders>
              <w:top w:val="nil"/>
              <w:left w:val="nil"/>
              <w:bottom w:val="nil"/>
              <w:right w:val="nil"/>
            </w:tcBorders>
            <w:noWrap/>
            <w:hideMark/>
          </w:tcPr>
          <w:p w:rsidR="00587374" w:rsidRDefault="00587374">
            <w:pPr>
              <w:rPr>
                <w:sz w:val="20"/>
                <w:szCs w:val="20"/>
              </w:rPr>
            </w:pPr>
            <w:r>
              <w:rPr>
                <w:sz w:val="20"/>
                <w:szCs w:val="20"/>
              </w:rPr>
              <w:t>55-64</w:t>
            </w:r>
          </w:p>
        </w:tc>
        <w:tc>
          <w:tcPr>
            <w:tcW w:w="1980" w:type="dxa"/>
            <w:tcBorders>
              <w:top w:val="nil"/>
              <w:left w:val="nil"/>
              <w:bottom w:val="nil"/>
              <w:right w:val="nil"/>
            </w:tcBorders>
            <w:noWrap/>
            <w:hideMark/>
          </w:tcPr>
          <w:p w:rsidR="00587374" w:rsidRDefault="00587374">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17.6</w:t>
            </w:r>
          </w:p>
        </w:tc>
        <w:tc>
          <w:tcPr>
            <w:tcW w:w="900" w:type="dxa"/>
            <w:tcBorders>
              <w:top w:val="nil"/>
              <w:left w:val="nil"/>
              <w:bottom w:val="nil"/>
              <w:right w:val="nil"/>
            </w:tcBorders>
            <w:noWrap/>
            <w:hideMark/>
          </w:tcPr>
          <w:p w:rsidR="00587374" w:rsidRDefault="00587374">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671</w:t>
            </w:r>
          </w:p>
        </w:tc>
        <w:tc>
          <w:tcPr>
            <w:tcW w:w="1620" w:type="dxa"/>
            <w:tcBorders>
              <w:top w:val="nil"/>
              <w:left w:val="nil"/>
              <w:bottom w:val="nil"/>
              <w:right w:val="nil"/>
            </w:tcBorders>
            <w:noWrap/>
            <w:hideMark/>
          </w:tcPr>
          <w:p w:rsidR="00587374" w:rsidRDefault="00587374">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Comparison</w:t>
            </w:r>
          </w:p>
        </w:tc>
      </w:tr>
      <w:tr w:rsidR="00587374" w:rsidTr="005873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638" w:type="dxa"/>
            <w:tcBorders>
              <w:top w:val="nil"/>
              <w:bottom w:val="nil"/>
            </w:tcBorders>
            <w:noWrap/>
            <w:hideMark/>
          </w:tcPr>
          <w:p w:rsidR="00587374" w:rsidRDefault="00587374">
            <w:pPr>
              <w:rPr>
                <w:sz w:val="20"/>
                <w:szCs w:val="20"/>
              </w:rPr>
            </w:pPr>
            <w:r>
              <w:rPr>
                <w:sz w:val="20"/>
                <w:szCs w:val="20"/>
              </w:rPr>
              <w:t>65-75</w:t>
            </w:r>
          </w:p>
        </w:tc>
        <w:tc>
          <w:tcPr>
            <w:tcW w:w="1980" w:type="dxa"/>
            <w:tcBorders>
              <w:top w:val="nil"/>
              <w:bottom w:val="nil"/>
            </w:tcBorders>
            <w:noWrap/>
            <w:hideMark/>
          </w:tcPr>
          <w:p w:rsidR="00587374" w:rsidRDefault="00587374">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17.0</w:t>
            </w:r>
          </w:p>
        </w:tc>
        <w:tc>
          <w:tcPr>
            <w:tcW w:w="900" w:type="dxa"/>
            <w:tcBorders>
              <w:top w:val="nil"/>
              <w:bottom w:val="nil"/>
            </w:tcBorders>
            <w:noWrap/>
            <w:hideMark/>
          </w:tcPr>
          <w:p w:rsidR="00587374" w:rsidRDefault="00587374">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862</w:t>
            </w:r>
          </w:p>
        </w:tc>
        <w:tc>
          <w:tcPr>
            <w:tcW w:w="1620" w:type="dxa"/>
            <w:tcBorders>
              <w:top w:val="nil"/>
              <w:bottom w:val="nil"/>
            </w:tcBorders>
            <w:noWrap/>
            <w:hideMark/>
          </w:tcPr>
          <w:p w:rsidR="00587374" w:rsidRDefault="00587374">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0.68</w:t>
            </w:r>
          </w:p>
        </w:tc>
      </w:tr>
      <w:tr w:rsidR="00587374" w:rsidTr="00587374">
        <w:trPr>
          <w:trHeight w:val="300"/>
        </w:trPr>
        <w:tc>
          <w:tcPr>
            <w:cnfStyle w:val="001000000000" w:firstRow="0" w:lastRow="0" w:firstColumn="1" w:lastColumn="0" w:oddVBand="0" w:evenVBand="0" w:oddHBand="0" w:evenHBand="0" w:firstRowFirstColumn="0" w:firstRowLastColumn="0" w:lastRowFirstColumn="0" w:lastRowLastColumn="0"/>
            <w:tcW w:w="1638" w:type="dxa"/>
            <w:tcBorders>
              <w:top w:val="nil"/>
              <w:left w:val="nil"/>
              <w:bottom w:val="nil"/>
              <w:right w:val="nil"/>
            </w:tcBorders>
            <w:noWrap/>
            <w:hideMark/>
          </w:tcPr>
          <w:p w:rsidR="00587374" w:rsidRDefault="00587374">
            <w:pPr>
              <w:rPr>
                <w:sz w:val="20"/>
                <w:szCs w:val="20"/>
              </w:rPr>
            </w:pPr>
            <w:r>
              <w:rPr>
                <w:sz w:val="20"/>
                <w:szCs w:val="20"/>
              </w:rPr>
              <w:t>75+</w:t>
            </w:r>
          </w:p>
        </w:tc>
        <w:tc>
          <w:tcPr>
            <w:tcW w:w="1980" w:type="dxa"/>
            <w:tcBorders>
              <w:top w:val="nil"/>
              <w:left w:val="nil"/>
              <w:bottom w:val="nil"/>
              <w:right w:val="nil"/>
            </w:tcBorders>
            <w:noWrap/>
            <w:hideMark/>
          </w:tcPr>
          <w:p w:rsidR="00587374" w:rsidRDefault="00587374">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16.4</w:t>
            </w:r>
          </w:p>
        </w:tc>
        <w:tc>
          <w:tcPr>
            <w:tcW w:w="900" w:type="dxa"/>
            <w:tcBorders>
              <w:top w:val="nil"/>
              <w:left w:val="nil"/>
              <w:bottom w:val="nil"/>
              <w:right w:val="nil"/>
            </w:tcBorders>
            <w:noWrap/>
            <w:hideMark/>
          </w:tcPr>
          <w:p w:rsidR="00587374" w:rsidRDefault="00587374">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592</w:t>
            </w:r>
          </w:p>
        </w:tc>
        <w:tc>
          <w:tcPr>
            <w:tcW w:w="1620" w:type="dxa"/>
            <w:tcBorders>
              <w:top w:val="nil"/>
              <w:left w:val="nil"/>
              <w:bottom w:val="nil"/>
              <w:right w:val="nil"/>
            </w:tcBorders>
            <w:noWrap/>
            <w:hideMark/>
          </w:tcPr>
          <w:p w:rsidR="00587374" w:rsidRDefault="00587374">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0.93</w:t>
            </w:r>
          </w:p>
        </w:tc>
      </w:tr>
      <w:tr w:rsidR="00587374" w:rsidTr="005873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638" w:type="dxa"/>
            <w:tcBorders>
              <w:top w:val="nil"/>
              <w:bottom w:val="single" w:sz="8" w:space="0" w:color="9BBB59" w:themeColor="accent3"/>
            </w:tcBorders>
            <w:noWrap/>
            <w:hideMark/>
          </w:tcPr>
          <w:p w:rsidR="00587374" w:rsidRDefault="00587374">
            <w:pPr>
              <w:rPr>
                <w:rFonts w:cs="Times New Roman"/>
              </w:rPr>
            </w:pPr>
          </w:p>
        </w:tc>
        <w:tc>
          <w:tcPr>
            <w:tcW w:w="1980" w:type="dxa"/>
            <w:tcBorders>
              <w:top w:val="nil"/>
              <w:bottom w:val="single" w:sz="8" w:space="0" w:color="9BBB59" w:themeColor="accent3"/>
            </w:tcBorders>
            <w:noWrap/>
            <w:hideMark/>
          </w:tcPr>
          <w:p w:rsidR="00587374" w:rsidRDefault="00587374">
            <w:pPr>
              <w:cnfStyle w:val="000000100000" w:firstRow="0" w:lastRow="0" w:firstColumn="0" w:lastColumn="0" w:oddVBand="0" w:evenVBand="0" w:oddHBand="1" w:evenHBand="0" w:firstRowFirstColumn="0" w:firstRowLastColumn="0" w:lastRowFirstColumn="0" w:lastRowLastColumn="0"/>
              <w:rPr>
                <w:spacing w:val="4"/>
                <w:sz w:val="20"/>
                <w:szCs w:val="20"/>
              </w:rPr>
            </w:pPr>
            <w:r>
              <w:rPr>
                <w:sz w:val="20"/>
                <w:szCs w:val="20"/>
              </w:rPr>
              <w:t>17.0</w:t>
            </w:r>
          </w:p>
        </w:tc>
        <w:tc>
          <w:tcPr>
            <w:tcW w:w="900" w:type="dxa"/>
            <w:tcBorders>
              <w:top w:val="nil"/>
              <w:bottom w:val="single" w:sz="8" w:space="0" w:color="9BBB59" w:themeColor="accent3"/>
            </w:tcBorders>
            <w:noWrap/>
            <w:hideMark/>
          </w:tcPr>
          <w:p w:rsidR="00587374" w:rsidRDefault="00587374">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2314</w:t>
            </w:r>
          </w:p>
        </w:tc>
        <w:tc>
          <w:tcPr>
            <w:tcW w:w="1620" w:type="dxa"/>
            <w:tcBorders>
              <w:top w:val="nil"/>
              <w:bottom w:val="single" w:sz="8" w:space="0" w:color="9BBB59" w:themeColor="accent3"/>
            </w:tcBorders>
            <w:noWrap/>
            <w:hideMark/>
          </w:tcPr>
          <w:p w:rsidR="00587374" w:rsidRDefault="00587374">
            <w:pPr>
              <w:cnfStyle w:val="000000100000" w:firstRow="0" w:lastRow="0" w:firstColumn="0" w:lastColumn="0" w:oddVBand="0" w:evenVBand="0" w:oddHBand="1" w:evenHBand="0" w:firstRowFirstColumn="0" w:firstRowLastColumn="0" w:lastRowFirstColumn="0" w:lastRowLastColumn="0"/>
              <w:rPr>
                <w:rFonts w:cs="Times New Roman"/>
              </w:rPr>
            </w:pPr>
          </w:p>
        </w:tc>
      </w:tr>
    </w:tbl>
    <w:p w:rsidR="00587374" w:rsidRDefault="00587374" w:rsidP="00587374">
      <w:pPr>
        <w:pStyle w:val="NoSpacing"/>
        <w:rPr>
          <w:b/>
          <w:sz w:val="28"/>
          <w:szCs w:val="28"/>
        </w:rPr>
      </w:pPr>
    </w:p>
    <w:tbl>
      <w:tblPr>
        <w:tblStyle w:val="LightShading-Accent3"/>
        <w:tblW w:w="0" w:type="auto"/>
        <w:tblInd w:w="0" w:type="dxa"/>
        <w:tblLayout w:type="fixed"/>
        <w:tblLook w:val="04A0" w:firstRow="1" w:lastRow="0" w:firstColumn="1" w:lastColumn="0" w:noHBand="0" w:noVBand="1"/>
      </w:tblPr>
      <w:tblGrid>
        <w:gridCol w:w="1660"/>
        <w:gridCol w:w="1958"/>
        <w:gridCol w:w="900"/>
        <w:gridCol w:w="1620"/>
      </w:tblGrid>
      <w:tr w:rsidR="00587374" w:rsidTr="00587374">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660" w:type="dxa"/>
            <w:noWrap/>
            <w:hideMark/>
          </w:tcPr>
          <w:p w:rsidR="00587374" w:rsidRDefault="00587374">
            <w:pPr>
              <w:spacing w:before="0" w:beforeAutospacing="0" w:after="0" w:afterAutospacing="0"/>
              <w:rPr>
                <w:sz w:val="20"/>
                <w:szCs w:val="20"/>
              </w:rPr>
            </w:pPr>
            <w:r>
              <w:rPr>
                <w:sz w:val="20"/>
                <w:szCs w:val="20"/>
              </w:rPr>
              <w:t>Tobacco Status</w:t>
            </w:r>
          </w:p>
        </w:tc>
        <w:tc>
          <w:tcPr>
            <w:tcW w:w="1958" w:type="dxa"/>
            <w:noWrap/>
            <w:hideMark/>
          </w:tcPr>
          <w:p w:rsidR="00587374" w:rsidRDefault="00587374">
            <w:pPr>
              <w:spacing w:before="0" w:beforeAutospacing="0" w:after="0" w:afterAutospacing="0"/>
              <w:cnfStyle w:val="100000000000" w:firstRow="1" w:lastRow="0" w:firstColumn="0" w:lastColumn="0" w:oddVBand="0" w:evenVBand="0" w:oddHBand="0" w:evenHBand="0" w:firstRowFirstColumn="0" w:firstRowLastColumn="0" w:lastRowFirstColumn="0" w:lastRowLastColumn="0"/>
              <w:rPr>
                <w:sz w:val="20"/>
                <w:szCs w:val="20"/>
              </w:rPr>
            </w:pPr>
            <w:r>
              <w:rPr>
                <w:sz w:val="20"/>
                <w:szCs w:val="20"/>
              </w:rPr>
              <w:t>Average Change</w:t>
            </w:r>
          </w:p>
        </w:tc>
        <w:tc>
          <w:tcPr>
            <w:tcW w:w="900" w:type="dxa"/>
            <w:noWrap/>
            <w:hideMark/>
          </w:tcPr>
          <w:p w:rsidR="00587374" w:rsidRDefault="00587374">
            <w:pPr>
              <w:spacing w:before="0" w:beforeAutospacing="0" w:after="0" w:afterAutospacing="0"/>
              <w:cnfStyle w:val="100000000000" w:firstRow="1" w:lastRow="0" w:firstColumn="0" w:lastColumn="0" w:oddVBand="0" w:evenVBand="0" w:oddHBand="0" w:evenHBand="0" w:firstRowFirstColumn="0" w:firstRowLastColumn="0" w:lastRowFirstColumn="0" w:lastRowLastColumn="0"/>
              <w:rPr>
                <w:sz w:val="20"/>
                <w:szCs w:val="20"/>
              </w:rPr>
            </w:pPr>
            <w:r>
              <w:rPr>
                <w:sz w:val="20"/>
                <w:szCs w:val="20"/>
              </w:rPr>
              <w:t>n</w:t>
            </w:r>
          </w:p>
        </w:tc>
        <w:tc>
          <w:tcPr>
            <w:tcW w:w="1620" w:type="dxa"/>
            <w:noWrap/>
            <w:hideMark/>
          </w:tcPr>
          <w:p w:rsidR="00587374" w:rsidRDefault="00587374">
            <w:pPr>
              <w:spacing w:before="0" w:beforeAutospacing="0" w:after="0" w:afterAutospacing="0"/>
              <w:cnfStyle w:val="100000000000" w:firstRow="1" w:lastRow="0" w:firstColumn="0" w:lastColumn="0" w:oddVBand="0" w:evenVBand="0" w:oddHBand="0" w:evenHBand="0" w:firstRowFirstColumn="0" w:firstRowLastColumn="0" w:lastRowFirstColumn="0" w:lastRowLastColumn="0"/>
              <w:rPr>
                <w:sz w:val="20"/>
                <w:szCs w:val="20"/>
              </w:rPr>
            </w:pPr>
            <w:r>
              <w:rPr>
                <w:sz w:val="20"/>
                <w:szCs w:val="20"/>
              </w:rPr>
              <w:t>F test</w:t>
            </w:r>
          </w:p>
        </w:tc>
      </w:tr>
      <w:tr w:rsidR="00587374" w:rsidTr="005873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660" w:type="dxa"/>
            <w:tcBorders>
              <w:top w:val="nil"/>
              <w:bottom w:val="nil"/>
            </w:tcBorders>
            <w:noWrap/>
            <w:hideMark/>
          </w:tcPr>
          <w:p w:rsidR="00587374" w:rsidRDefault="00587374">
            <w:pPr>
              <w:rPr>
                <w:sz w:val="20"/>
                <w:szCs w:val="20"/>
              </w:rPr>
            </w:pPr>
            <w:r>
              <w:rPr>
                <w:sz w:val="20"/>
                <w:szCs w:val="20"/>
              </w:rPr>
              <w:t>User</w:t>
            </w:r>
          </w:p>
        </w:tc>
        <w:tc>
          <w:tcPr>
            <w:tcW w:w="1958" w:type="dxa"/>
            <w:tcBorders>
              <w:top w:val="nil"/>
              <w:bottom w:val="nil"/>
            </w:tcBorders>
            <w:noWrap/>
            <w:hideMark/>
          </w:tcPr>
          <w:p w:rsidR="00587374" w:rsidRDefault="00587374">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17.4</w:t>
            </w:r>
          </w:p>
        </w:tc>
        <w:tc>
          <w:tcPr>
            <w:tcW w:w="900" w:type="dxa"/>
            <w:tcBorders>
              <w:top w:val="nil"/>
              <w:bottom w:val="nil"/>
            </w:tcBorders>
            <w:noWrap/>
            <w:hideMark/>
          </w:tcPr>
          <w:p w:rsidR="00587374" w:rsidRDefault="00587374">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148</w:t>
            </w:r>
          </w:p>
        </w:tc>
        <w:tc>
          <w:tcPr>
            <w:tcW w:w="1620" w:type="dxa"/>
            <w:tcBorders>
              <w:top w:val="nil"/>
              <w:bottom w:val="nil"/>
            </w:tcBorders>
            <w:noWrap/>
            <w:hideMark/>
          </w:tcPr>
          <w:p w:rsidR="00587374" w:rsidRDefault="00587374">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0.65</w:t>
            </w:r>
          </w:p>
        </w:tc>
      </w:tr>
      <w:tr w:rsidR="00587374" w:rsidTr="00587374">
        <w:trPr>
          <w:trHeight w:val="300"/>
        </w:trPr>
        <w:tc>
          <w:tcPr>
            <w:cnfStyle w:val="001000000000" w:firstRow="0" w:lastRow="0" w:firstColumn="1" w:lastColumn="0" w:oddVBand="0" w:evenVBand="0" w:oddHBand="0" w:evenHBand="0" w:firstRowFirstColumn="0" w:firstRowLastColumn="0" w:lastRowFirstColumn="0" w:lastRowLastColumn="0"/>
            <w:tcW w:w="1660" w:type="dxa"/>
            <w:tcBorders>
              <w:top w:val="nil"/>
              <w:left w:val="nil"/>
              <w:bottom w:val="single" w:sz="8" w:space="0" w:color="9BBB59" w:themeColor="accent3"/>
              <w:right w:val="nil"/>
            </w:tcBorders>
            <w:noWrap/>
            <w:hideMark/>
          </w:tcPr>
          <w:p w:rsidR="00587374" w:rsidRDefault="00587374">
            <w:pPr>
              <w:rPr>
                <w:sz w:val="20"/>
                <w:szCs w:val="20"/>
              </w:rPr>
            </w:pPr>
            <w:r>
              <w:rPr>
                <w:sz w:val="20"/>
                <w:szCs w:val="20"/>
              </w:rPr>
              <w:t>Non User</w:t>
            </w:r>
          </w:p>
        </w:tc>
        <w:tc>
          <w:tcPr>
            <w:tcW w:w="1958" w:type="dxa"/>
            <w:tcBorders>
              <w:top w:val="nil"/>
              <w:left w:val="nil"/>
              <w:bottom w:val="single" w:sz="8" w:space="0" w:color="9BBB59" w:themeColor="accent3"/>
              <w:right w:val="nil"/>
            </w:tcBorders>
            <w:noWrap/>
            <w:hideMark/>
          </w:tcPr>
          <w:p w:rsidR="00587374" w:rsidRDefault="00587374">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17.0</w:t>
            </w:r>
          </w:p>
        </w:tc>
        <w:tc>
          <w:tcPr>
            <w:tcW w:w="900" w:type="dxa"/>
            <w:tcBorders>
              <w:top w:val="nil"/>
              <w:left w:val="nil"/>
              <w:bottom w:val="single" w:sz="8" w:space="0" w:color="9BBB59" w:themeColor="accent3"/>
              <w:right w:val="nil"/>
            </w:tcBorders>
            <w:noWrap/>
            <w:hideMark/>
          </w:tcPr>
          <w:p w:rsidR="00587374" w:rsidRDefault="00587374">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2122</w:t>
            </w:r>
          </w:p>
        </w:tc>
        <w:tc>
          <w:tcPr>
            <w:tcW w:w="1620" w:type="dxa"/>
            <w:tcBorders>
              <w:top w:val="nil"/>
              <w:left w:val="nil"/>
              <w:bottom w:val="single" w:sz="8" w:space="0" w:color="9BBB59" w:themeColor="accent3"/>
              <w:right w:val="nil"/>
            </w:tcBorders>
            <w:noWrap/>
            <w:hideMark/>
          </w:tcPr>
          <w:p w:rsidR="00587374" w:rsidRDefault="00587374">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Comparison</w:t>
            </w:r>
          </w:p>
        </w:tc>
      </w:tr>
    </w:tbl>
    <w:p w:rsidR="00587374" w:rsidRDefault="00587374" w:rsidP="00587374">
      <w:pPr>
        <w:pStyle w:val="NoSpacing"/>
        <w:rPr>
          <w:b/>
          <w:sz w:val="28"/>
          <w:szCs w:val="28"/>
        </w:rPr>
      </w:pPr>
    </w:p>
    <w:tbl>
      <w:tblPr>
        <w:tblStyle w:val="LightShading-Accent3"/>
        <w:tblW w:w="0" w:type="auto"/>
        <w:tblInd w:w="0" w:type="dxa"/>
        <w:tblLayout w:type="fixed"/>
        <w:tblLook w:val="04A0" w:firstRow="1" w:lastRow="0" w:firstColumn="1" w:lastColumn="0" w:noHBand="0" w:noVBand="1"/>
      </w:tblPr>
      <w:tblGrid>
        <w:gridCol w:w="1728"/>
        <w:gridCol w:w="1890"/>
        <w:gridCol w:w="900"/>
        <w:gridCol w:w="1620"/>
      </w:tblGrid>
      <w:tr w:rsidR="00587374" w:rsidTr="00587374">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728" w:type="dxa"/>
            <w:noWrap/>
            <w:hideMark/>
          </w:tcPr>
          <w:p w:rsidR="00587374" w:rsidRDefault="00587374">
            <w:pPr>
              <w:spacing w:before="0" w:beforeAutospacing="0" w:after="0" w:afterAutospacing="0"/>
              <w:rPr>
                <w:sz w:val="20"/>
                <w:szCs w:val="20"/>
              </w:rPr>
            </w:pPr>
            <w:r>
              <w:rPr>
                <w:sz w:val="20"/>
                <w:szCs w:val="20"/>
              </w:rPr>
              <w:t>Diabetes</w:t>
            </w:r>
          </w:p>
        </w:tc>
        <w:tc>
          <w:tcPr>
            <w:tcW w:w="1890" w:type="dxa"/>
            <w:noWrap/>
            <w:hideMark/>
          </w:tcPr>
          <w:p w:rsidR="00587374" w:rsidRDefault="00587374">
            <w:pPr>
              <w:spacing w:before="0" w:beforeAutospacing="0" w:after="0" w:afterAutospacing="0"/>
              <w:cnfStyle w:val="100000000000" w:firstRow="1" w:lastRow="0" w:firstColumn="0" w:lastColumn="0" w:oddVBand="0" w:evenVBand="0" w:oddHBand="0" w:evenHBand="0" w:firstRowFirstColumn="0" w:firstRowLastColumn="0" w:lastRowFirstColumn="0" w:lastRowLastColumn="0"/>
              <w:rPr>
                <w:sz w:val="20"/>
                <w:szCs w:val="20"/>
              </w:rPr>
            </w:pPr>
            <w:r>
              <w:rPr>
                <w:sz w:val="20"/>
                <w:szCs w:val="20"/>
              </w:rPr>
              <w:t>Average Change</w:t>
            </w:r>
          </w:p>
        </w:tc>
        <w:tc>
          <w:tcPr>
            <w:tcW w:w="900" w:type="dxa"/>
            <w:noWrap/>
            <w:hideMark/>
          </w:tcPr>
          <w:p w:rsidR="00587374" w:rsidRDefault="00587374">
            <w:pPr>
              <w:spacing w:before="0" w:beforeAutospacing="0" w:after="0" w:afterAutospacing="0"/>
              <w:cnfStyle w:val="100000000000" w:firstRow="1" w:lastRow="0" w:firstColumn="0" w:lastColumn="0" w:oddVBand="0" w:evenVBand="0" w:oddHBand="0" w:evenHBand="0" w:firstRowFirstColumn="0" w:firstRowLastColumn="0" w:lastRowFirstColumn="0" w:lastRowLastColumn="0"/>
              <w:rPr>
                <w:sz w:val="20"/>
                <w:szCs w:val="20"/>
              </w:rPr>
            </w:pPr>
            <w:r>
              <w:rPr>
                <w:sz w:val="20"/>
                <w:szCs w:val="20"/>
              </w:rPr>
              <w:t>n</w:t>
            </w:r>
          </w:p>
        </w:tc>
        <w:tc>
          <w:tcPr>
            <w:tcW w:w="1620" w:type="dxa"/>
            <w:noWrap/>
            <w:hideMark/>
          </w:tcPr>
          <w:p w:rsidR="00587374" w:rsidRDefault="00587374">
            <w:pPr>
              <w:spacing w:before="0" w:beforeAutospacing="0" w:after="0" w:afterAutospacing="0"/>
              <w:cnfStyle w:val="100000000000" w:firstRow="1" w:lastRow="0" w:firstColumn="0" w:lastColumn="0" w:oddVBand="0" w:evenVBand="0" w:oddHBand="0" w:evenHBand="0" w:firstRowFirstColumn="0" w:firstRowLastColumn="0" w:lastRowFirstColumn="0" w:lastRowLastColumn="0"/>
              <w:rPr>
                <w:sz w:val="20"/>
                <w:szCs w:val="20"/>
              </w:rPr>
            </w:pPr>
            <w:r>
              <w:rPr>
                <w:sz w:val="20"/>
                <w:szCs w:val="20"/>
              </w:rPr>
              <w:t>F test</w:t>
            </w:r>
          </w:p>
        </w:tc>
      </w:tr>
      <w:tr w:rsidR="00587374" w:rsidTr="005873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728" w:type="dxa"/>
            <w:tcBorders>
              <w:top w:val="nil"/>
              <w:bottom w:val="nil"/>
            </w:tcBorders>
            <w:noWrap/>
            <w:hideMark/>
          </w:tcPr>
          <w:p w:rsidR="00587374" w:rsidRDefault="00587374">
            <w:pPr>
              <w:rPr>
                <w:sz w:val="20"/>
                <w:szCs w:val="20"/>
              </w:rPr>
            </w:pPr>
            <w:r>
              <w:rPr>
                <w:sz w:val="20"/>
                <w:szCs w:val="20"/>
              </w:rPr>
              <w:t>TRUE</w:t>
            </w:r>
          </w:p>
        </w:tc>
        <w:tc>
          <w:tcPr>
            <w:tcW w:w="1890" w:type="dxa"/>
            <w:tcBorders>
              <w:top w:val="nil"/>
              <w:bottom w:val="nil"/>
            </w:tcBorders>
            <w:noWrap/>
            <w:hideMark/>
          </w:tcPr>
          <w:p w:rsidR="00587374" w:rsidRDefault="00587374">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16.9</w:t>
            </w:r>
          </w:p>
        </w:tc>
        <w:tc>
          <w:tcPr>
            <w:tcW w:w="900" w:type="dxa"/>
            <w:tcBorders>
              <w:top w:val="nil"/>
              <w:bottom w:val="nil"/>
            </w:tcBorders>
            <w:noWrap/>
            <w:hideMark/>
          </w:tcPr>
          <w:p w:rsidR="00587374" w:rsidRDefault="00587374">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472</w:t>
            </w:r>
          </w:p>
        </w:tc>
        <w:tc>
          <w:tcPr>
            <w:tcW w:w="1620" w:type="dxa"/>
            <w:tcBorders>
              <w:top w:val="nil"/>
              <w:bottom w:val="nil"/>
            </w:tcBorders>
            <w:noWrap/>
            <w:hideMark/>
          </w:tcPr>
          <w:p w:rsidR="00587374" w:rsidRDefault="00587374">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0.05</w:t>
            </w:r>
          </w:p>
        </w:tc>
      </w:tr>
      <w:tr w:rsidR="00587374" w:rsidTr="00587374">
        <w:trPr>
          <w:trHeight w:val="300"/>
        </w:trPr>
        <w:tc>
          <w:tcPr>
            <w:cnfStyle w:val="001000000000" w:firstRow="0" w:lastRow="0" w:firstColumn="1" w:lastColumn="0" w:oddVBand="0" w:evenVBand="0" w:oddHBand="0" w:evenHBand="0" w:firstRowFirstColumn="0" w:firstRowLastColumn="0" w:lastRowFirstColumn="0" w:lastRowLastColumn="0"/>
            <w:tcW w:w="1728" w:type="dxa"/>
            <w:tcBorders>
              <w:top w:val="nil"/>
              <w:left w:val="nil"/>
              <w:bottom w:val="single" w:sz="8" w:space="0" w:color="9BBB59" w:themeColor="accent3"/>
              <w:right w:val="nil"/>
            </w:tcBorders>
            <w:noWrap/>
            <w:hideMark/>
          </w:tcPr>
          <w:p w:rsidR="00587374" w:rsidRDefault="00587374">
            <w:pPr>
              <w:rPr>
                <w:sz w:val="20"/>
                <w:szCs w:val="20"/>
              </w:rPr>
            </w:pPr>
            <w:r>
              <w:rPr>
                <w:sz w:val="20"/>
                <w:szCs w:val="20"/>
              </w:rPr>
              <w:lastRenderedPageBreak/>
              <w:t>FALSE</w:t>
            </w:r>
          </w:p>
        </w:tc>
        <w:tc>
          <w:tcPr>
            <w:tcW w:w="1890" w:type="dxa"/>
            <w:tcBorders>
              <w:top w:val="nil"/>
              <w:left w:val="nil"/>
              <w:bottom w:val="single" w:sz="8" w:space="0" w:color="9BBB59" w:themeColor="accent3"/>
              <w:right w:val="nil"/>
            </w:tcBorders>
            <w:noWrap/>
            <w:hideMark/>
          </w:tcPr>
          <w:p w:rsidR="00587374" w:rsidRDefault="00587374">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17.0</w:t>
            </w:r>
          </w:p>
        </w:tc>
        <w:tc>
          <w:tcPr>
            <w:tcW w:w="900" w:type="dxa"/>
            <w:tcBorders>
              <w:top w:val="nil"/>
              <w:left w:val="nil"/>
              <w:bottom w:val="single" w:sz="8" w:space="0" w:color="9BBB59" w:themeColor="accent3"/>
              <w:right w:val="nil"/>
            </w:tcBorders>
            <w:noWrap/>
            <w:hideMark/>
          </w:tcPr>
          <w:p w:rsidR="00587374" w:rsidRDefault="00587374">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1841</w:t>
            </w:r>
          </w:p>
        </w:tc>
        <w:tc>
          <w:tcPr>
            <w:tcW w:w="1620" w:type="dxa"/>
            <w:tcBorders>
              <w:top w:val="nil"/>
              <w:left w:val="nil"/>
              <w:bottom w:val="single" w:sz="8" w:space="0" w:color="9BBB59" w:themeColor="accent3"/>
              <w:right w:val="nil"/>
            </w:tcBorders>
            <w:noWrap/>
            <w:hideMark/>
          </w:tcPr>
          <w:p w:rsidR="00587374" w:rsidRDefault="00587374">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Comparison</w:t>
            </w:r>
          </w:p>
        </w:tc>
      </w:tr>
    </w:tbl>
    <w:p w:rsidR="00587374" w:rsidRDefault="00587374" w:rsidP="00587374">
      <w:pPr>
        <w:pStyle w:val="NoSpacing"/>
        <w:rPr>
          <w:b/>
          <w:sz w:val="28"/>
          <w:szCs w:val="28"/>
        </w:rPr>
      </w:pPr>
    </w:p>
    <w:tbl>
      <w:tblPr>
        <w:tblStyle w:val="LightShading-Accent3"/>
        <w:tblW w:w="0" w:type="auto"/>
        <w:tblInd w:w="0" w:type="dxa"/>
        <w:tblLayout w:type="fixed"/>
        <w:tblLook w:val="04A0" w:firstRow="1" w:lastRow="0" w:firstColumn="1" w:lastColumn="0" w:noHBand="0" w:noVBand="1"/>
      </w:tblPr>
      <w:tblGrid>
        <w:gridCol w:w="1728"/>
        <w:gridCol w:w="1890"/>
        <w:gridCol w:w="900"/>
        <w:gridCol w:w="1620"/>
      </w:tblGrid>
      <w:tr w:rsidR="00587374" w:rsidTr="00587374">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728" w:type="dxa"/>
            <w:noWrap/>
            <w:hideMark/>
          </w:tcPr>
          <w:p w:rsidR="00587374" w:rsidRDefault="00587374">
            <w:pPr>
              <w:spacing w:before="0" w:beforeAutospacing="0" w:after="0" w:afterAutospacing="0"/>
              <w:rPr>
                <w:sz w:val="20"/>
                <w:szCs w:val="20"/>
              </w:rPr>
            </w:pPr>
            <w:r>
              <w:rPr>
                <w:sz w:val="20"/>
                <w:szCs w:val="20"/>
              </w:rPr>
              <w:t>Gender</w:t>
            </w:r>
          </w:p>
        </w:tc>
        <w:tc>
          <w:tcPr>
            <w:tcW w:w="1890" w:type="dxa"/>
            <w:noWrap/>
            <w:hideMark/>
          </w:tcPr>
          <w:p w:rsidR="00587374" w:rsidRDefault="00587374">
            <w:pPr>
              <w:spacing w:before="0" w:beforeAutospacing="0" w:after="0" w:afterAutospacing="0"/>
              <w:cnfStyle w:val="100000000000" w:firstRow="1" w:lastRow="0" w:firstColumn="0" w:lastColumn="0" w:oddVBand="0" w:evenVBand="0" w:oddHBand="0" w:evenHBand="0" w:firstRowFirstColumn="0" w:firstRowLastColumn="0" w:lastRowFirstColumn="0" w:lastRowLastColumn="0"/>
              <w:rPr>
                <w:sz w:val="20"/>
                <w:szCs w:val="20"/>
              </w:rPr>
            </w:pPr>
            <w:r>
              <w:rPr>
                <w:sz w:val="20"/>
                <w:szCs w:val="20"/>
              </w:rPr>
              <w:t>Average Change</w:t>
            </w:r>
          </w:p>
        </w:tc>
        <w:tc>
          <w:tcPr>
            <w:tcW w:w="900" w:type="dxa"/>
            <w:noWrap/>
            <w:hideMark/>
          </w:tcPr>
          <w:p w:rsidR="00587374" w:rsidRDefault="00587374">
            <w:pPr>
              <w:spacing w:before="0" w:beforeAutospacing="0" w:after="0" w:afterAutospacing="0"/>
              <w:cnfStyle w:val="100000000000" w:firstRow="1" w:lastRow="0" w:firstColumn="0" w:lastColumn="0" w:oddVBand="0" w:evenVBand="0" w:oddHBand="0" w:evenHBand="0" w:firstRowFirstColumn="0" w:firstRowLastColumn="0" w:lastRowFirstColumn="0" w:lastRowLastColumn="0"/>
              <w:rPr>
                <w:sz w:val="20"/>
                <w:szCs w:val="20"/>
              </w:rPr>
            </w:pPr>
            <w:r>
              <w:rPr>
                <w:sz w:val="20"/>
                <w:szCs w:val="20"/>
              </w:rPr>
              <w:t>n</w:t>
            </w:r>
          </w:p>
        </w:tc>
        <w:tc>
          <w:tcPr>
            <w:tcW w:w="1620" w:type="dxa"/>
            <w:noWrap/>
            <w:hideMark/>
          </w:tcPr>
          <w:p w:rsidR="00587374" w:rsidRDefault="00587374">
            <w:pPr>
              <w:spacing w:before="0" w:beforeAutospacing="0" w:after="0" w:afterAutospacing="0"/>
              <w:cnfStyle w:val="100000000000" w:firstRow="1" w:lastRow="0" w:firstColumn="0" w:lastColumn="0" w:oddVBand="0" w:evenVBand="0" w:oddHBand="0" w:evenHBand="0" w:firstRowFirstColumn="0" w:firstRowLastColumn="0" w:lastRowFirstColumn="0" w:lastRowLastColumn="0"/>
              <w:rPr>
                <w:sz w:val="20"/>
                <w:szCs w:val="20"/>
              </w:rPr>
            </w:pPr>
            <w:r>
              <w:rPr>
                <w:sz w:val="20"/>
                <w:szCs w:val="20"/>
              </w:rPr>
              <w:t>F test</w:t>
            </w:r>
          </w:p>
        </w:tc>
      </w:tr>
      <w:tr w:rsidR="00587374" w:rsidTr="005873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728" w:type="dxa"/>
            <w:tcBorders>
              <w:top w:val="nil"/>
              <w:bottom w:val="nil"/>
            </w:tcBorders>
            <w:noWrap/>
            <w:hideMark/>
          </w:tcPr>
          <w:p w:rsidR="00587374" w:rsidRDefault="00587374">
            <w:pPr>
              <w:rPr>
                <w:sz w:val="20"/>
                <w:szCs w:val="20"/>
              </w:rPr>
            </w:pPr>
            <w:r>
              <w:rPr>
                <w:sz w:val="20"/>
                <w:szCs w:val="20"/>
              </w:rPr>
              <w:t>Female</w:t>
            </w:r>
          </w:p>
        </w:tc>
        <w:tc>
          <w:tcPr>
            <w:tcW w:w="1890" w:type="dxa"/>
            <w:tcBorders>
              <w:top w:val="nil"/>
              <w:bottom w:val="nil"/>
            </w:tcBorders>
            <w:noWrap/>
            <w:hideMark/>
          </w:tcPr>
          <w:p w:rsidR="00587374" w:rsidRDefault="00587374">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16.3</w:t>
            </w:r>
          </w:p>
        </w:tc>
        <w:tc>
          <w:tcPr>
            <w:tcW w:w="900" w:type="dxa"/>
            <w:tcBorders>
              <w:top w:val="nil"/>
              <w:bottom w:val="nil"/>
            </w:tcBorders>
            <w:noWrap/>
            <w:hideMark/>
          </w:tcPr>
          <w:p w:rsidR="00587374" w:rsidRDefault="00587374">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1411</w:t>
            </w:r>
          </w:p>
        </w:tc>
        <w:tc>
          <w:tcPr>
            <w:tcW w:w="1620" w:type="dxa"/>
            <w:tcBorders>
              <w:top w:val="nil"/>
              <w:bottom w:val="nil"/>
            </w:tcBorders>
            <w:noWrap/>
            <w:hideMark/>
          </w:tcPr>
          <w:p w:rsidR="00587374" w:rsidRDefault="00587374">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Comparison</w:t>
            </w:r>
          </w:p>
        </w:tc>
      </w:tr>
      <w:tr w:rsidR="00587374" w:rsidTr="00587374">
        <w:trPr>
          <w:trHeight w:val="300"/>
        </w:trPr>
        <w:tc>
          <w:tcPr>
            <w:cnfStyle w:val="001000000000" w:firstRow="0" w:lastRow="0" w:firstColumn="1" w:lastColumn="0" w:oddVBand="0" w:evenVBand="0" w:oddHBand="0" w:evenHBand="0" w:firstRowFirstColumn="0" w:firstRowLastColumn="0" w:lastRowFirstColumn="0" w:lastRowLastColumn="0"/>
            <w:tcW w:w="1728" w:type="dxa"/>
            <w:tcBorders>
              <w:top w:val="nil"/>
              <w:left w:val="nil"/>
              <w:bottom w:val="single" w:sz="8" w:space="0" w:color="9BBB59" w:themeColor="accent3"/>
              <w:right w:val="nil"/>
            </w:tcBorders>
            <w:noWrap/>
            <w:hideMark/>
          </w:tcPr>
          <w:p w:rsidR="00587374" w:rsidRDefault="00587374">
            <w:pPr>
              <w:rPr>
                <w:sz w:val="20"/>
                <w:szCs w:val="20"/>
              </w:rPr>
            </w:pPr>
            <w:r>
              <w:rPr>
                <w:sz w:val="20"/>
                <w:szCs w:val="20"/>
              </w:rPr>
              <w:t>Male</w:t>
            </w:r>
          </w:p>
        </w:tc>
        <w:tc>
          <w:tcPr>
            <w:tcW w:w="1890" w:type="dxa"/>
            <w:tcBorders>
              <w:top w:val="nil"/>
              <w:left w:val="nil"/>
              <w:bottom w:val="single" w:sz="8" w:space="0" w:color="9BBB59" w:themeColor="accent3"/>
              <w:right w:val="nil"/>
            </w:tcBorders>
            <w:noWrap/>
            <w:hideMark/>
          </w:tcPr>
          <w:p w:rsidR="00587374" w:rsidRDefault="00587374">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17.4</w:t>
            </w:r>
          </w:p>
        </w:tc>
        <w:tc>
          <w:tcPr>
            <w:tcW w:w="900" w:type="dxa"/>
            <w:tcBorders>
              <w:top w:val="nil"/>
              <w:left w:val="nil"/>
              <w:bottom w:val="single" w:sz="8" w:space="0" w:color="9BBB59" w:themeColor="accent3"/>
              <w:right w:val="nil"/>
            </w:tcBorders>
            <w:noWrap/>
            <w:hideMark/>
          </w:tcPr>
          <w:p w:rsidR="00587374" w:rsidRDefault="00587374">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903</w:t>
            </w:r>
          </w:p>
        </w:tc>
        <w:tc>
          <w:tcPr>
            <w:tcW w:w="1620" w:type="dxa"/>
            <w:tcBorders>
              <w:top w:val="nil"/>
              <w:left w:val="nil"/>
              <w:bottom w:val="single" w:sz="8" w:space="0" w:color="9BBB59" w:themeColor="accent3"/>
              <w:right w:val="nil"/>
            </w:tcBorders>
            <w:noWrap/>
            <w:hideMark/>
          </w:tcPr>
          <w:p w:rsidR="00587374" w:rsidRDefault="00587374">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0.252</w:t>
            </w:r>
          </w:p>
        </w:tc>
      </w:tr>
    </w:tbl>
    <w:p w:rsidR="00587374" w:rsidRDefault="00587374" w:rsidP="00587374">
      <w:pPr>
        <w:pStyle w:val="NoSpacing"/>
        <w:rPr>
          <w:b/>
          <w:sz w:val="28"/>
          <w:szCs w:val="28"/>
        </w:rPr>
      </w:pPr>
    </w:p>
    <w:p w:rsidR="00587374" w:rsidRDefault="00587374" w:rsidP="00587374">
      <w:pPr>
        <w:autoSpaceDE w:val="0"/>
        <w:autoSpaceDN w:val="0"/>
        <w:adjustRightInd w:val="0"/>
        <w:spacing w:after="0" w:line="240" w:lineRule="auto"/>
        <w:rPr>
          <w:rFonts w:cstheme="minorHAnsi"/>
          <w:b/>
          <w:bCs/>
        </w:rPr>
      </w:pPr>
    </w:p>
    <w:p w:rsidR="00587374" w:rsidRDefault="00587374" w:rsidP="00587374">
      <w:pPr>
        <w:autoSpaceDE w:val="0"/>
        <w:autoSpaceDN w:val="0"/>
        <w:adjustRightInd w:val="0"/>
        <w:spacing w:after="0" w:line="240" w:lineRule="auto"/>
        <w:rPr>
          <w:rFonts w:cstheme="minorHAnsi"/>
          <w:bCs/>
        </w:rPr>
      </w:pPr>
      <w:r>
        <w:rPr>
          <w:rFonts w:cstheme="minorHAnsi"/>
          <w:b/>
          <w:bCs/>
        </w:rPr>
        <w:t xml:space="preserve">2b4.5. Describe the method of testing/analysis used to develop and validate the adequacy of the statistical model </w:t>
      </w:r>
      <w:r>
        <w:rPr>
          <w:rFonts w:cstheme="minorHAnsi"/>
          <w:b/>
          <w:bCs/>
          <w:u w:val="single"/>
        </w:rPr>
        <w:t>or</w:t>
      </w:r>
      <w:r>
        <w:rPr>
          <w:rFonts w:cstheme="minorHAnsi"/>
          <w:b/>
          <w:bCs/>
        </w:rPr>
        <w:t xml:space="preserve"> stratification approach</w:t>
      </w:r>
      <w:r>
        <w:rPr>
          <w:rFonts w:cstheme="minorHAnsi"/>
          <w:bCs/>
        </w:rPr>
        <w:t xml:space="preserve"> (</w:t>
      </w:r>
      <w:r>
        <w:rPr>
          <w:rFonts w:cstheme="minorHAnsi"/>
          <w:bCs/>
          <w:i/>
        </w:rPr>
        <w:t>describe the steps―do not just name a method; what statistical analysis was used</w:t>
      </w:r>
      <w:r>
        <w:rPr>
          <w:rFonts w:cstheme="minorHAnsi"/>
          <w:bCs/>
        </w:rPr>
        <w:t>)</w:t>
      </w:r>
      <w:r>
        <w:rPr>
          <w:rFonts w:cstheme="minorHAnsi"/>
          <w:bCs/>
        </w:rPr>
        <w:br/>
      </w:r>
    </w:p>
    <w:p w:rsidR="00587374" w:rsidRDefault="00587374" w:rsidP="00587374">
      <w:pPr>
        <w:autoSpaceDE w:val="0"/>
        <w:autoSpaceDN w:val="0"/>
        <w:adjustRightInd w:val="0"/>
        <w:spacing w:after="0" w:line="240" w:lineRule="auto"/>
        <w:rPr>
          <w:rFonts w:ascii="Trebuchet MS" w:eastAsia="Times New Roman" w:hAnsi="Trebuchet MS" w:cs="Times New Roman"/>
          <w:color w:val="1F497D" w:themeColor="text2"/>
          <w:sz w:val="18"/>
          <w:szCs w:val="18"/>
          <w:lang w:val="en"/>
        </w:rPr>
      </w:pPr>
      <w:r>
        <w:rPr>
          <w:rFonts w:ascii="Trebuchet MS" w:eastAsia="Times New Roman" w:hAnsi="Trebuchet MS" w:cs="Times New Roman"/>
          <w:color w:val="1F497D" w:themeColor="text2"/>
          <w:sz w:val="18"/>
          <w:szCs w:val="18"/>
          <w:lang w:val="en"/>
        </w:rPr>
        <w:t>After risk adjustment factors are selected based on the criteria above, the model is applied by using regression to compute an expected result at the patient level, calculating an expected average result for all patients in a reported entity’s denominator and then determining statistical significance of the difference of the actual result and the expected result, requiring a p value &lt;0.05.</w:t>
      </w:r>
    </w:p>
    <w:p w:rsidR="00587374" w:rsidRDefault="00587374" w:rsidP="00587374">
      <w:pPr>
        <w:autoSpaceDE w:val="0"/>
        <w:autoSpaceDN w:val="0"/>
        <w:adjustRightInd w:val="0"/>
        <w:spacing w:after="0" w:line="240" w:lineRule="auto"/>
        <w:rPr>
          <w:rFonts w:cstheme="minorHAnsi"/>
          <w:bCs/>
        </w:rPr>
      </w:pPr>
    </w:p>
    <w:p w:rsidR="00587374" w:rsidRDefault="00587374" w:rsidP="00587374">
      <w:pPr>
        <w:autoSpaceDE w:val="0"/>
        <w:autoSpaceDN w:val="0"/>
        <w:adjustRightInd w:val="0"/>
        <w:spacing w:after="0" w:line="240" w:lineRule="auto"/>
        <w:rPr>
          <w:rFonts w:cstheme="minorHAnsi"/>
          <w:b/>
          <w:bCs/>
        </w:rPr>
      </w:pPr>
      <w:r>
        <w:rPr>
          <w:rFonts w:cstheme="minorHAnsi"/>
          <w:bCs/>
          <w:i/>
        </w:rPr>
        <w:t>Provide the statistical results from testing the approach to controlling for differences in patient characteristics (case mix) below</w:t>
      </w:r>
      <w:r>
        <w:rPr>
          <w:rFonts w:cstheme="minorHAnsi"/>
          <w:bCs/>
        </w:rPr>
        <w:t>.</w:t>
      </w:r>
      <w:r>
        <w:rPr>
          <w:rFonts w:cstheme="minorHAnsi"/>
          <w:bCs/>
        </w:rPr>
        <w:br/>
      </w:r>
      <w:r>
        <w:rPr>
          <w:rFonts w:cstheme="minorHAnsi"/>
          <w:b/>
          <w:bCs/>
          <w:i/>
          <w:highlight w:val="green"/>
        </w:rPr>
        <w:t xml:space="preserve">If stratified, skip to </w:t>
      </w:r>
      <w:hyperlink r:id="rId7" w:anchor="question2b49" w:history="1">
        <w:r>
          <w:rPr>
            <w:rStyle w:val="Hyperlink"/>
            <w:rFonts w:cstheme="minorHAnsi"/>
            <w:b/>
            <w:bCs/>
            <w:i/>
            <w:highlight w:val="green"/>
          </w:rPr>
          <w:t>2b4.9</w:t>
        </w:r>
      </w:hyperlink>
    </w:p>
    <w:p w:rsidR="00587374" w:rsidRDefault="00587374" w:rsidP="00587374">
      <w:pPr>
        <w:autoSpaceDE w:val="0"/>
        <w:autoSpaceDN w:val="0"/>
        <w:adjustRightInd w:val="0"/>
        <w:spacing w:after="0" w:line="240" w:lineRule="auto"/>
        <w:rPr>
          <w:rFonts w:cstheme="minorHAnsi"/>
          <w:b/>
          <w:bCs/>
        </w:rPr>
      </w:pPr>
    </w:p>
    <w:p w:rsidR="00587374" w:rsidRDefault="00587374" w:rsidP="00587374">
      <w:pPr>
        <w:autoSpaceDE w:val="0"/>
        <w:autoSpaceDN w:val="0"/>
        <w:adjustRightInd w:val="0"/>
        <w:spacing w:after="0" w:line="240" w:lineRule="auto"/>
        <w:rPr>
          <w:rFonts w:cstheme="minorHAnsi"/>
          <w:b/>
          <w:bCs/>
        </w:rPr>
      </w:pPr>
      <w:r>
        <w:rPr>
          <w:rFonts w:cstheme="minorHAnsi"/>
          <w:b/>
          <w:bCs/>
        </w:rPr>
        <w:t>2b4.6. Statistical Risk Model Discrimination Statistics</w:t>
      </w:r>
      <w:r>
        <w:rPr>
          <w:rFonts w:cstheme="minorHAnsi"/>
          <w:bCs/>
        </w:rPr>
        <w:t xml:space="preserve"> (</w:t>
      </w:r>
      <w:r>
        <w:rPr>
          <w:rFonts w:cstheme="minorHAnsi"/>
          <w:bCs/>
          <w:i/>
        </w:rPr>
        <w:t>e.g., c-statistic, R-squared</w:t>
      </w:r>
      <w:r>
        <w:rPr>
          <w:rFonts w:cstheme="minorHAnsi"/>
          <w:bCs/>
        </w:rPr>
        <w:t>)</w:t>
      </w:r>
      <w:r>
        <w:rPr>
          <w:rFonts w:cstheme="minorHAnsi"/>
          <w:b/>
          <w:bCs/>
        </w:rPr>
        <w:t xml:space="preserve">:  </w:t>
      </w:r>
    </w:p>
    <w:p w:rsidR="00587374" w:rsidRDefault="00587374" w:rsidP="00587374">
      <w:pPr>
        <w:autoSpaceDE w:val="0"/>
        <w:autoSpaceDN w:val="0"/>
        <w:adjustRightInd w:val="0"/>
        <w:spacing w:after="0" w:line="240" w:lineRule="auto"/>
        <w:rPr>
          <w:rFonts w:cstheme="minorHAnsi"/>
          <w:b/>
          <w:bCs/>
        </w:rPr>
      </w:pPr>
    </w:p>
    <w:p w:rsidR="00587374" w:rsidRDefault="00587374" w:rsidP="00587374">
      <w:pPr>
        <w:keepNext/>
        <w:autoSpaceDE w:val="0"/>
        <w:autoSpaceDN w:val="0"/>
        <w:adjustRightInd w:val="0"/>
        <w:spacing w:after="0" w:line="240" w:lineRule="auto"/>
        <w:rPr>
          <w:rFonts w:ascii="Tahoma" w:eastAsia="Times New Roman" w:hAnsi="Tahoma" w:cs="Tahoma"/>
          <w:bCs/>
          <w:color w:val="000000"/>
        </w:rPr>
      </w:pPr>
      <w:r>
        <w:rPr>
          <w:rFonts w:ascii="Tahoma" w:eastAsia="Times New Roman" w:hAnsi="Tahoma" w:cs="Tahoma"/>
          <w:bCs/>
          <w:color w:val="000000"/>
        </w:rPr>
        <w:t xml:space="preserve">Bivariate Fit of </w:t>
      </w:r>
      <w:proofErr w:type="spellStart"/>
      <w:r>
        <w:rPr>
          <w:rFonts w:ascii="Tahoma" w:eastAsia="Times New Roman" w:hAnsi="Tahoma" w:cs="Tahoma"/>
          <w:bCs/>
          <w:color w:val="000000"/>
        </w:rPr>
        <w:t>Observed_Diff_Post_Pre</w:t>
      </w:r>
      <w:proofErr w:type="spellEnd"/>
      <w:r>
        <w:rPr>
          <w:rFonts w:ascii="Tahoma" w:eastAsia="Times New Roman" w:hAnsi="Tahoma" w:cs="Tahoma"/>
          <w:bCs/>
          <w:color w:val="000000"/>
        </w:rPr>
        <w:t xml:space="preserve"> </w:t>
      </w:r>
      <w:proofErr w:type="gramStart"/>
      <w:r>
        <w:rPr>
          <w:rFonts w:ascii="Tahoma" w:eastAsia="Times New Roman" w:hAnsi="Tahoma" w:cs="Tahoma"/>
          <w:bCs/>
          <w:color w:val="000000"/>
        </w:rPr>
        <w:t>By</w:t>
      </w:r>
      <w:proofErr w:type="gramEnd"/>
      <w:r>
        <w:rPr>
          <w:rFonts w:ascii="Tahoma" w:eastAsia="Times New Roman" w:hAnsi="Tahoma" w:cs="Tahoma"/>
          <w:bCs/>
          <w:color w:val="000000"/>
        </w:rPr>
        <w:t xml:space="preserve"> </w:t>
      </w:r>
      <w:proofErr w:type="spellStart"/>
      <w:r>
        <w:rPr>
          <w:rFonts w:ascii="Tahoma" w:eastAsia="Times New Roman" w:hAnsi="Tahoma" w:cs="Tahoma"/>
          <w:bCs/>
          <w:color w:val="000000"/>
        </w:rPr>
        <w:t>Preop</w:t>
      </w:r>
      <w:proofErr w:type="spellEnd"/>
      <w:r>
        <w:rPr>
          <w:rFonts w:ascii="Tahoma" w:eastAsia="Times New Roman" w:hAnsi="Tahoma" w:cs="Tahoma"/>
          <w:bCs/>
          <w:color w:val="000000"/>
        </w:rPr>
        <w:t xml:space="preserve"> Procedure=Total Knee Replacement</w:t>
      </w:r>
    </w:p>
    <w:p w:rsidR="00587374" w:rsidRDefault="007733C1" w:rsidP="00587374">
      <w:pPr>
        <w:autoSpaceDE w:val="0"/>
        <w:autoSpaceDN w:val="0"/>
        <w:adjustRightInd w:val="0"/>
        <w:spacing w:after="0" w:line="240" w:lineRule="auto"/>
        <w:rPr>
          <w:rFonts w:ascii="Tahoma" w:eastAsia="Times New Roman" w:hAnsi="Tahoma" w:cs="Tahoma"/>
          <w:color w:val="000000"/>
          <w:sz w:val="18"/>
          <w:szCs w:val="18"/>
        </w:rPr>
      </w:pPr>
      <w:r>
        <w:rPr>
          <w:rFonts w:ascii="Tahoma" w:eastAsia="Times New Roman" w:hAnsi="Tahoma" w:cs="Tahoma"/>
          <w:noProof/>
          <w:color w:val="000000"/>
          <w:sz w:val="18"/>
          <w:szCs w:val="18"/>
        </w:rPr>
        <w:drawing>
          <wp:inline distT="0" distB="0" distL="0" distR="0" wp14:anchorId="29829941">
            <wp:extent cx="3695065" cy="280924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95065" cy="2809240"/>
                    </a:xfrm>
                    <a:prstGeom prst="rect">
                      <a:avLst/>
                    </a:prstGeom>
                    <a:noFill/>
                  </pic:spPr>
                </pic:pic>
              </a:graphicData>
            </a:graphic>
          </wp:inline>
        </w:drawing>
      </w:r>
    </w:p>
    <w:p w:rsidR="00587374" w:rsidRDefault="00587374" w:rsidP="00587374">
      <w:pPr>
        <w:autoSpaceDE w:val="0"/>
        <w:autoSpaceDN w:val="0"/>
        <w:adjustRightInd w:val="0"/>
        <w:spacing w:after="0" w:line="240" w:lineRule="auto"/>
        <w:rPr>
          <w:rFonts w:ascii="Tahoma" w:eastAsia="Times New Roman" w:hAnsi="Tahoma" w:cs="Tahoma"/>
          <w:color w:val="000000"/>
          <w:sz w:val="18"/>
          <w:szCs w:val="18"/>
        </w:rPr>
      </w:pPr>
    </w:p>
    <w:p w:rsidR="00587374" w:rsidRDefault="00587374" w:rsidP="00587374">
      <w:pPr>
        <w:keepNext/>
        <w:autoSpaceDE w:val="0"/>
        <w:autoSpaceDN w:val="0"/>
        <w:adjustRightInd w:val="0"/>
        <w:spacing w:after="0" w:line="240" w:lineRule="auto"/>
        <w:rPr>
          <w:rFonts w:ascii="Tahoma" w:eastAsia="Times New Roman" w:hAnsi="Tahoma" w:cs="Tahoma"/>
          <w:b/>
          <w:bCs/>
          <w:color w:val="000000"/>
        </w:rPr>
      </w:pPr>
      <w:r>
        <w:rPr>
          <w:rFonts w:ascii="Tahoma" w:eastAsia="Times New Roman" w:hAnsi="Tahoma" w:cs="Tahoma"/>
          <w:b/>
          <w:bCs/>
          <w:color w:val="000000"/>
        </w:rPr>
        <w:t>Linear Fit</w:t>
      </w:r>
    </w:p>
    <w:p w:rsidR="00587374" w:rsidRDefault="00587374" w:rsidP="00587374">
      <w:pPr>
        <w:autoSpaceDE w:val="0"/>
        <w:autoSpaceDN w:val="0"/>
        <w:adjustRightInd w:val="0"/>
        <w:spacing w:after="0" w:line="240" w:lineRule="auto"/>
        <w:rPr>
          <w:rFonts w:ascii="Tahoma" w:eastAsia="Times New Roman" w:hAnsi="Tahoma" w:cs="Tahoma"/>
          <w:color w:val="000000"/>
          <w:sz w:val="18"/>
          <w:szCs w:val="18"/>
        </w:rPr>
      </w:pPr>
      <w:proofErr w:type="spellStart"/>
      <w:r>
        <w:rPr>
          <w:rFonts w:ascii="Tahoma" w:eastAsia="Times New Roman" w:hAnsi="Tahoma" w:cs="Tahoma"/>
          <w:color w:val="000000"/>
          <w:sz w:val="18"/>
          <w:szCs w:val="18"/>
        </w:rPr>
        <w:t>Observed_Diff_Post_Pre</w:t>
      </w:r>
      <w:proofErr w:type="spellEnd"/>
      <w:r>
        <w:rPr>
          <w:rFonts w:ascii="Tahoma" w:eastAsia="Times New Roman" w:hAnsi="Tahoma" w:cs="Tahoma"/>
          <w:color w:val="000000"/>
          <w:sz w:val="18"/>
          <w:szCs w:val="18"/>
        </w:rPr>
        <w:t xml:space="preserve"> = 32.386377 - 0.6771258*</w:t>
      </w:r>
      <w:proofErr w:type="spellStart"/>
      <w:r>
        <w:rPr>
          <w:rFonts w:ascii="Tahoma" w:eastAsia="Times New Roman" w:hAnsi="Tahoma" w:cs="Tahoma"/>
          <w:color w:val="000000"/>
          <w:sz w:val="18"/>
          <w:szCs w:val="18"/>
        </w:rPr>
        <w:t>Preop</w:t>
      </w:r>
      <w:proofErr w:type="spellEnd"/>
    </w:p>
    <w:p w:rsidR="00587374" w:rsidRDefault="00587374" w:rsidP="00587374">
      <w:pPr>
        <w:autoSpaceDE w:val="0"/>
        <w:autoSpaceDN w:val="0"/>
        <w:adjustRightInd w:val="0"/>
        <w:spacing w:after="0" w:line="240" w:lineRule="auto"/>
        <w:rPr>
          <w:rFonts w:ascii="Tahoma" w:eastAsia="Times New Roman" w:hAnsi="Tahoma" w:cs="Tahoma"/>
          <w:color w:val="000000"/>
          <w:sz w:val="18"/>
          <w:szCs w:val="18"/>
        </w:rPr>
      </w:pPr>
    </w:p>
    <w:p w:rsidR="007733C1" w:rsidRDefault="007733C1" w:rsidP="00587374">
      <w:pPr>
        <w:keepNext/>
        <w:autoSpaceDE w:val="0"/>
        <w:autoSpaceDN w:val="0"/>
        <w:adjustRightInd w:val="0"/>
        <w:spacing w:after="0" w:line="240" w:lineRule="auto"/>
        <w:rPr>
          <w:rFonts w:ascii="Tahoma" w:eastAsia="Times New Roman" w:hAnsi="Tahoma" w:cs="Tahoma"/>
          <w:b/>
          <w:bCs/>
          <w:color w:val="000000"/>
        </w:rPr>
      </w:pPr>
    </w:p>
    <w:p w:rsidR="007733C1" w:rsidRDefault="007733C1" w:rsidP="00587374">
      <w:pPr>
        <w:keepNext/>
        <w:autoSpaceDE w:val="0"/>
        <w:autoSpaceDN w:val="0"/>
        <w:adjustRightInd w:val="0"/>
        <w:spacing w:after="0" w:line="240" w:lineRule="auto"/>
        <w:rPr>
          <w:rFonts w:ascii="Tahoma" w:eastAsia="Times New Roman" w:hAnsi="Tahoma" w:cs="Tahoma"/>
          <w:b/>
          <w:bCs/>
          <w:color w:val="000000"/>
        </w:rPr>
      </w:pPr>
    </w:p>
    <w:p w:rsidR="007733C1" w:rsidRDefault="007733C1" w:rsidP="00587374">
      <w:pPr>
        <w:keepNext/>
        <w:autoSpaceDE w:val="0"/>
        <w:autoSpaceDN w:val="0"/>
        <w:adjustRightInd w:val="0"/>
        <w:spacing w:after="0" w:line="240" w:lineRule="auto"/>
        <w:rPr>
          <w:rFonts w:ascii="Tahoma" w:eastAsia="Times New Roman" w:hAnsi="Tahoma" w:cs="Tahoma"/>
          <w:b/>
          <w:bCs/>
          <w:color w:val="000000"/>
        </w:rPr>
      </w:pPr>
    </w:p>
    <w:p w:rsidR="007733C1" w:rsidRDefault="007733C1" w:rsidP="00587374">
      <w:pPr>
        <w:keepNext/>
        <w:autoSpaceDE w:val="0"/>
        <w:autoSpaceDN w:val="0"/>
        <w:adjustRightInd w:val="0"/>
        <w:spacing w:after="0" w:line="240" w:lineRule="auto"/>
        <w:rPr>
          <w:rFonts w:ascii="Tahoma" w:eastAsia="Times New Roman" w:hAnsi="Tahoma" w:cs="Tahoma"/>
          <w:b/>
          <w:bCs/>
          <w:color w:val="000000"/>
        </w:rPr>
      </w:pPr>
    </w:p>
    <w:p w:rsidR="00587374" w:rsidRDefault="00587374" w:rsidP="00587374">
      <w:pPr>
        <w:keepNext/>
        <w:autoSpaceDE w:val="0"/>
        <w:autoSpaceDN w:val="0"/>
        <w:adjustRightInd w:val="0"/>
        <w:spacing w:after="0" w:line="240" w:lineRule="auto"/>
        <w:rPr>
          <w:rFonts w:ascii="Tahoma" w:eastAsia="Times New Roman" w:hAnsi="Tahoma" w:cs="Tahoma"/>
          <w:b/>
          <w:bCs/>
          <w:color w:val="000000"/>
        </w:rPr>
      </w:pPr>
      <w:r>
        <w:rPr>
          <w:rFonts w:ascii="Tahoma" w:eastAsia="Times New Roman" w:hAnsi="Tahoma" w:cs="Tahoma"/>
          <w:b/>
          <w:bCs/>
          <w:color w:val="000000"/>
        </w:rPr>
        <w:t>Summary of Fit</w:t>
      </w:r>
    </w:p>
    <w:tbl>
      <w:tblPr>
        <w:tblW w:w="0" w:type="auto"/>
        <w:tblLayout w:type="fixed"/>
        <w:tblCellMar>
          <w:left w:w="40" w:type="dxa"/>
          <w:right w:w="40" w:type="dxa"/>
        </w:tblCellMar>
        <w:tblLook w:val="04A0" w:firstRow="1" w:lastRow="0" w:firstColumn="1" w:lastColumn="0" w:noHBand="0" w:noVBand="1"/>
      </w:tblPr>
      <w:tblGrid>
        <w:gridCol w:w="3320"/>
        <w:gridCol w:w="1320"/>
      </w:tblGrid>
      <w:tr w:rsidR="00587374" w:rsidTr="00587374">
        <w:trPr>
          <w:tblHeader/>
        </w:trPr>
        <w:tc>
          <w:tcPr>
            <w:tcW w:w="3320" w:type="dxa"/>
            <w:hideMark/>
          </w:tcPr>
          <w:p w:rsidR="00587374" w:rsidRDefault="00587374">
            <w:pPr>
              <w:autoSpaceDE w:val="0"/>
              <w:autoSpaceDN w:val="0"/>
              <w:adjustRightInd w:val="0"/>
              <w:spacing w:after="0" w:line="240" w:lineRule="auto"/>
              <w:rPr>
                <w:rFonts w:ascii="Tahoma" w:eastAsia="Times New Roman" w:hAnsi="Tahoma" w:cs="Tahoma"/>
                <w:b/>
                <w:bCs/>
                <w:color w:val="000000"/>
                <w:sz w:val="18"/>
                <w:szCs w:val="18"/>
              </w:rPr>
            </w:pPr>
            <w:r>
              <w:rPr>
                <w:rFonts w:ascii="Tahoma" w:eastAsia="Times New Roman" w:hAnsi="Tahoma" w:cs="Tahoma"/>
                <w:b/>
                <w:bCs/>
                <w:color w:val="000000"/>
                <w:sz w:val="18"/>
                <w:szCs w:val="18"/>
              </w:rPr>
              <w:t xml:space="preserve"> </w:t>
            </w:r>
          </w:p>
        </w:tc>
        <w:tc>
          <w:tcPr>
            <w:tcW w:w="1320" w:type="dxa"/>
            <w:hideMark/>
          </w:tcPr>
          <w:p w:rsidR="00587374" w:rsidRDefault="00587374">
            <w:pPr>
              <w:autoSpaceDE w:val="0"/>
              <w:autoSpaceDN w:val="0"/>
              <w:adjustRightInd w:val="0"/>
              <w:spacing w:after="0" w:line="240" w:lineRule="auto"/>
              <w:jc w:val="right"/>
              <w:rPr>
                <w:rFonts w:ascii="Tahoma" w:eastAsia="Times New Roman" w:hAnsi="Tahoma" w:cs="Tahoma"/>
                <w:b/>
                <w:bCs/>
                <w:color w:val="000000"/>
                <w:sz w:val="18"/>
                <w:szCs w:val="18"/>
              </w:rPr>
            </w:pPr>
            <w:r>
              <w:rPr>
                <w:rFonts w:ascii="Tahoma" w:eastAsia="Times New Roman" w:hAnsi="Tahoma" w:cs="Tahoma"/>
                <w:b/>
                <w:bCs/>
                <w:color w:val="000000"/>
                <w:sz w:val="18"/>
                <w:szCs w:val="18"/>
              </w:rPr>
              <w:t xml:space="preserve"> </w:t>
            </w:r>
          </w:p>
        </w:tc>
      </w:tr>
      <w:tr w:rsidR="00587374" w:rsidTr="00587374">
        <w:tc>
          <w:tcPr>
            <w:tcW w:w="3320" w:type="dxa"/>
            <w:hideMark/>
          </w:tcPr>
          <w:p w:rsidR="00587374" w:rsidRDefault="00587374">
            <w:pPr>
              <w:autoSpaceDE w:val="0"/>
              <w:autoSpaceDN w:val="0"/>
              <w:adjustRightInd w:val="0"/>
              <w:spacing w:after="0" w:line="240" w:lineRule="auto"/>
              <w:rPr>
                <w:rFonts w:ascii="Tahoma" w:eastAsia="Times New Roman" w:hAnsi="Tahoma" w:cs="Tahoma"/>
                <w:color w:val="000000"/>
                <w:sz w:val="18"/>
                <w:szCs w:val="18"/>
              </w:rPr>
            </w:pPr>
            <w:proofErr w:type="spellStart"/>
            <w:r>
              <w:rPr>
                <w:rFonts w:ascii="Tahoma" w:eastAsia="Times New Roman" w:hAnsi="Tahoma" w:cs="Tahoma"/>
                <w:color w:val="000000"/>
                <w:sz w:val="18"/>
                <w:szCs w:val="18"/>
              </w:rPr>
              <w:t>RSquare</w:t>
            </w:r>
            <w:proofErr w:type="spellEnd"/>
          </w:p>
        </w:tc>
        <w:tc>
          <w:tcPr>
            <w:tcW w:w="1320" w:type="dxa"/>
            <w:hideMark/>
          </w:tcPr>
          <w:p w:rsidR="00587374" w:rsidRDefault="00587374">
            <w:pPr>
              <w:autoSpaceDE w:val="0"/>
              <w:autoSpaceDN w:val="0"/>
              <w:adjustRightInd w:val="0"/>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0.33804</w:t>
            </w:r>
          </w:p>
        </w:tc>
      </w:tr>
      <w:tr w:rsidR="00587374" w:rsidTr="00587374">
        <w:tc>
          <w:tcPr>
            <w:tcW w:w="3320" w:type="dxa"/>
            <w:hideMark/>
          </w:tcPr>
          <w:p w:rsidR="00587374" w:rsidRDefault="00587374">
            <w:pPr>
              <w:autoSpaceDE w:val="0"/>
              <w:autoSpaceDN w:val="0"/>
              <w:adjustRightInd w:val="0"/>
              <w:spacing w:after="0" w:line="240" w:lineRule="auto"/>
              <w:rPr>
                <w:rFonts w:ascii="Tahoma" w:eastAsia="Times New Roman" w:hAnsi="Tahoma" w:cs="Tahoma"/>
                <w:color w:val="000000"/>
                <w:sz w:val="18"/>
                <w:szCs w:val="18"/>
              </w:rPr>
            </w:pPr>
            <w:proofErr w:type="spellStart"/>
            <w:r>
              <w:rPr>
                <w:rFonts w:ascii="Tahoma" w:eastAsia="Times New Roman" w:hAnsi="Tahoma" w:cs="Tahoma"/>
                <w:color w:val="000000"/>
                <w:sz w:val="18"/>
                <w:szCs w:val="18"/>
              </w:rPr>
              <w:t>RSquare</w:t>
            </w:r>
            <w:proofErr w:type="spellEnd"/>
            <w:r>
              <w:rPr>
                <w:rFonts w:ascii="Tahoma" w:eastAsia="Times New Roman" w:hAnsi="Tahoma" w:cs="Tahoma"/>
                <w:color w:val="000000"/>
                <w:sz w:val="18"/>
                <w:szCs w:val="18"/>
              </w:rPr>
              <w:t xml:space="preserve"> </w:t>
            </w:r>
            <w:proofErr w:type="spellStart"/>
            <w:r>
              <w:rPr>
                <w:rFonts w:ascii="Tahoma" w:eastAsia="Times New Roman" w:hAnsi="Tahoma" w:cs="Tahoma"/>
                <w:color w:val="000000"/>
                <w:sz w:val="18"/>
                <w:szCs w:val="18"/>
              </w:rPr>
              <w:t>Adj</w:t>
            </w:r>
            <w:proofErr w:type="spellEnd"/>
          </w:p>
        </w:tc>
        <w:tc>
          <w:tcPr>
            <w:tcW w:w="1320" w:type="dxa"/>
            <w:hideMark/>
          </w:tcPr>
          <w:p w:rsidR="00587374" w:rsidRDefault="00587374">
            <w:pPr>
              <w:autoSpaceDE w:val="0"/>
              <w:autoSpaceDN w:val="0"/>
              <w:adjustRightInd w:val="0"/>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0.337753</w:t>
            </w:r>
          </w:p>
        </w:tc>
      </w:tr>
      <w:tr w:rsidR="00587374" w:rsidTr="00587374">
        <w:tc>
          <w:tcPr>
            <w:tcW w:w="3320" w:type="dxa"/>
            <w:hideMark/>
          </w:tcPr>
          <w:p w:rsidR="00587374" w:rsidRDefault="00587374">
            <w:pPr>
              <w:autoSpaceDE w:val="0"/>
              <w:autoSpaceDN w:val="0"/>
              <w:adjustRightInd w:val="0"/>
              <w:spacing w:after="0" w:line="240" w:lineRule="auto"/>
              <w:rPr>
                <w:rFonts w:ascii="Tahoma" w:eastAsia="Times New Roman" w:hAnsi="Tahoma" w:cs="Tahoma"/>
                <w:color w:val="000000"/>
                <w:sz w:val="18"/>
                <w:szCs w:val="18"/>
              </w:rPr>
            </w:pPr>
            <w:r>
              <w:rPr>
                <w:rFonts w:ascii="Tahoma" w:eastAsia="Times New Roman" w:hAnsi="Tahoma" w:cs="Tahoma"/>
                <w:color w:val="000000"/>
                <w:sz w:val="18"/>
                <w:szCs w:val="18"/>
              </w:rPr>
              <w:t>Root Mean Square Error</w:t>
            </w:r>
          </w:p>
        </w:tc>
        <w:tc>
          <w:tcPr>
            <w:tcW w:w="1320" w:type="dxa"/>
            <w:hideMark/>
          </w:tcPr>
          <w:p w:rsidR="00587374" w:rsidRDefault="00587374">
            <w:pPr>
              <w:autoSpaceDE w:val="0"/>
              <w:autoSpaceDN w:val="0"/>
              <w:adjustRightInd w:val="0"/>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7.292007</w:t>
            </w:r>
          </w:p>
        </w:tc>
      </w:tr>
      <w:tr w:rsidR="00587374" w:rsidTr="00587374">
        <w:tc>
          <w:tcPr>
            <w:tcW w:w="3320" w:type="dxa"/>
            <w:hideMark/>
          </w:tcPr>
          <w:p w:rsidR="00587374" w:rsidRDefault="00587374">
            <w:pPr>
              <w:autoSpaceDE w:val="0"/>
              <w:autoSpaceDN w:val="0"/>
              <w:adjustRightInd w:val="0"/>
              <w:spacing w:after="0" w:line="240" w:lineRule="auto"/>
              <w:rPr>
                <w:rFonts w:ascii="Tahoma" w:eastAsia="Times New Roman" w:hAnsi="Tahoma" w:cs="Tahoma"/>
                <w:color w:val="000000"/>
                <w:sz w:val="18"/>
                <w:szCs w:val="18"/>
              </w:rPr>
            </w:pPr>
            <w:r>
              <w:rPr>
                <w:rFonts w:ascii="Tahoma" w:eastAsia="Times New Roman" w:hAnsi="Tahoma" w:cs="Tahoma"/>
                <w:color w:val="000000"/>
                <w:sz w:val="18"/>
                <w:szCs w:val="18"/>
              </w:rPr>
              <w:t>Mean of Response</w:t>
            </w:r>
          </w:p>
        </w:tc>
        <w:tc>
          <w:tcPr>
            <w:tcW w:w="1320" w:type="dxa"/>
            <w:hideMark/>
          </w:tcPr>
          <w:p w:rsidR="00587374" w:rsidRDefault="00587374">
            <w:pPr>
              <w:autoSpaceDE w:val="0"/>
              <w:autoSpaceDN w:val="0"/>
              <w:adjustRightInd w:val="0"/>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17.06695</w:t>
            </w:r>
          </w:p>
        </w:tc>
      </w:tr>
      <w:tr w:rsidR="00587374" w:rsidTr="00587374">
        <w:tc>
          <w:tcPr>
            <w:tcW w:w="3320" w:type="dxa"/>
            <w:hideMark/>
          </w:tcPr>
          <w:p w:rsidR="00587374" w:rsidRDefault="00587374">
            <w:pPr>
              <w:autoSpaceDE w:val="0"/>
              <w:autoSpaceDN w:val="0"/>
              <w:adjustRightInd w:val="0"/>
              <w:spacing w:after="0" w:line="240" w:lineRule="auto"/>
              <w:rPr>
                <w:rFonts w:ascii="Tahoma" w:eastAsia="Times New Roman" w:hAnsi="Tahoma" w:cs="Tahoma"/>
                <w:color w:val="000000"/>
                <w:sz w:val="18"/>
                <w:szCs w:val="18"/>
              </w:rPr>
            </w:pPr>
            <w:r>
              <w:rPr>
                <w:rFonts w:ascii="Tahoma" w:eastAsia="Times New Roman" w:hAnsi="Tahoma" w:cs="Tahoma"/>
                <w:color w:val="000000"/>
                <w:sz w:val="18"/>
                <w:szCs w:val="18"/>
              </w:rPr>
              <w:t xml:space="preserve">Observations (or Sum </w:t>
            </w:r>
            <w:proofErr w:type="spellStart"/>
            <w:r>
              <w:rPr>
                <w:rFonts w:ascii="Tahoma" w:eastAsia="Times New Roman" w:hAnsi="Tahoma" w:cs="Tahoma"/>
                <w:color w:val="000000"/>
                <w:sz w:val="18"/>
                <w:szCs w:val="18"/>
              </w:rPr>
              <w:t>Wgts</w:t>
            </w:r>
            <w:proofErr w:type="spellEnd"/>
            <w:r>
              <w:rPr>
                <w:rFonts w:ascii="Tahoma" w:eastAsia="Times New Roman" w:hAnsi="Tahoma" w:cs="Tahoma"/>
                <w:color w:val="000000"/>
                <w:sz w:val="18"/>
                <w:szCs w:val="18"/>
              </w:rPr>
              <w:t>)</w:t>
            </w:r>
          </w:p>
        </w:tc>
        <w:tc>
          <w:tcPr>
            <w:tcW w:w="1320" w:type="dxa"/>
            <w:hideMark/>
          </w:tcPr>
          <w:p w:rsidR="00587374" w:rsidRDefault="00587374">
            <w:pPr>
              <w:autoSpaceDE w:val="0"/>
              <w:autoSpaceDN w:val="0"/>
              <w:adjustRightInd w:val="0"/>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2315</w:t>
            </w:r>
          </w:p>
        </w:tc>
      </w:tr>
    </w:tbl>
    <w:p w:rsidR="00587374" w:rsidRDefault="00587374" w:rsidP="00587374">
      <w:pPr>
        <w:autoSpaceDE w:val="0"/>
        <w:autoSpaceDN w:val="0"/>
        <w:adjustRightInd w:val="0"/>
        <w:spacing w:after="0" w:line="240" w:lineRule="auto"/>
        <w:rPr>
          <w:rFonts w:ascii="Tahoma" w:eastAsia="Times New Roman" w:hAnsi="Tahoma" w:cs="Tahoma"/>
          <w:color w:val="000000"/>
          <w:sz w:val="18"/>
          <w:szCs w:val="18"/>
        </w:rPr>
      </w:pPr>
    </w:p>
    <w:p w:rsidR="00587374" w:rsidRDefault="00587374" w:rsidP="00587374">
      <w:pPr>
        <w:autoSpaceDE w:val="0"/>
        <w:autoSpaceDN w:val="0"/>
        <w:adjustRightInd w:val="0"/>
        <w:spacing w:after="0" w:line="240" w:lineRule="auto"/>
        <w:rPr>
          <w:rFonts w:ascii="Tahoma" w:eastAsia="Times New Roman" w:hAnsi="Tahoma" w:cs="Tahoma"/>
          <w:color w:val="000000"/>
          <w:sz w:val="18"/>
          <w:szCs w:val="18"/>
        </w:rPr>
      </w:pPr>
    </w:p>
    <w:p w:rsidR="00587374" w:rsidRDefault="00587374" w:rsidP="00587374">
      <w:pPr>
        <w:keepNext/>
        <w:autoSpaceDE w:val="0"/>
        <w:autoSpaceDN w:val="0"/>
        <w:adjustRightInd w:val="0"/>
        <w:spacing w:after="0" w:line="240" w:lineRule="auto"/>
        <w:rPr>
          <w:rFonts w:ascii="Tahoma" w:eastAsia="Times New Roman" w:hAnsi="Tahoma" w:cs="Tahoma"/>
          <w:b/>
          <w:bCs/>
          <w:color w:val="000000"/>
        </w:rPr>
      </w:pPr>
      <w:r>
        <w:rPr>
          <w:rFonts w:ascii="Tahoma" w:eastAsia="Times New Roman" w:hAnsi="Tahoma" w:cs="Tahoma"/>
          <w:b/>
          <w:bCs/>
          <w:color w:val="000000"/>
        </w:rPr>
        <w:t>Analysis of Variance</w:t>
      </w:r>
    </w:p>
    <w:tbl>
      <w:tblPr>
        <w:tblW w:w="0" w:type="auto"/>
        <w:tblLayout w:type="fixed"/>
        <w:tblCellMar>
          <w:left w:w="40" w:type="dxa"/>
          <w:right w:w="40" w:type="dxa"/>
        </w:tblCellMar>
        <w:tblLook w:val="04A0" w:firstRow="1" w:lastRow="0" w:firstColumn="1" w:lastColumn="0" w:noHBand="0" w:noVBand="1"/>
      </w:tblPr>
      <w:tblGrid>
        <w:gridCol w:w="1100"/>
        <w:gridCol w:w="1040"/>
        <w:gridCol w:w="1600"/>
        <w:gridCol w:w="1840"/>
        <w:gridCol w:w="1320"/>
      </w:tblGrid>
      <w:tr w:rsidR="00587374" w:rsidTr="00587374">
        <w:trPr>
          <w:tblHeader/>
        </w:trPr>
        <w:tc>
          <w:tcPr>
            <w:tcW w:w="1100" w:type="dxa"/>
            <w:hideMark/>
          </w:tcPr>
          <w:p w:rsidR="00587374" w:rsidRDefault="00587374">
            <w:pPr>
              <w:autoSpaceDE w:val="0"/>
              <w:autoSpaceDN w:val="0"/>
              <w:adjustRightInd w:val="0"/>
              <w:spacing w:after="0" w:line="240" w:lineRule="auto"/>
              <w:rPr>
                <w:rFonts w:ascii="Tahoma" w:eastAsia="Times New Roman" w:hAnsi="Tahoma" w:cs="Tahoma"/>
                <w:b/>
                <w:bCs/>
                <w:color w:val="000000"/>
                <w:sz w:val="18"/>
                <w:szCs w:val="18"/>
              </w:rPr>
            </w:pPr>
            <w:r>
              <w:rPr>
                <w:rFonts w:ascii="Tahoma" w:eastAsia="Times New Roman" w:hAnsi="Tahoma" w:cs="Tahoma"/>
                <w:b/>
                <w:bCs/>
                <w:color w:val="000000"/>
                <w:sz w:val="18"/>
                <w:szCs w:val="18"/>
              </w:rPr>
              <w:t>Source</w:t>
            </w:r>
          </w:p>
        </w:tc>
        <w:tc>
          <w:tcPr>
            <w:tcW w:w="1040" w:type="dxa"/>
            <w:hideMark/>
          </w:tcPr>
          <w:p w:rsidR="00587374" w:rsidRDefault="00587374">
            <w:pPr>
              <w:autoSpaceDE w:val="0"/>
              <w:autoSpaceDN w:val="0"/>
              <w:adjustRightInd w:val="0"/>
              <w:spacing w:after="0" w:line="240" w:lineRule="auto"/>
              <w:jc w:val="right"/>
              <w:rPr>
                <w:rFonts w:ascii="Tahoma" w:eastAsia="Times New Roman" w:hAnsi="Tahoma" w:cs="Tahoma"/>
                <w:b/>
                <w:bCs/>
                <w:color w:val="000000"/>
                <w:sz w:val="18"/>
                <w:szCs w:val="18"/>
              </w:rPr>
            </w:pPr>
            <w:r>
              <w:rPr>
                <w:rFonts w:ascii="Tahoma" w:eastAsia="Times New Roman" w:hAnsi="Tahoma" w:cs="Tahoma"/>
                <w:b/>
                <w:bCs/>
                <w:color w:val="000000"/>
                <w:sz w:val="18"/>
                <w:szCs w:val="18"/>
              </w:rPr>
              <w:t>DF</w:t>
            </w:r>
          </w:p>
        </w:tc>
        <w:tc>
          <w:tcPr>
            <w:tcW w:w="1600" w:type="dxa"/>
            <w:hideMark/>
          </w:tcPr>
          <w:p w:rsidR="00587374" w:rsidRDefault="00587374">
            <w:pPr>
              <w:autoSpaceDE w:val="0"/>
              <w:autoSpaceDN w:val="0"/>
              <w:adjustRightInd w:val="0"/>
              <w:spacing w:after="0" w:line="240" w:lineRule="auto"/>
              <w:jc w:val="right"/>
              <w:rPr>
                <w:rFonts w:ascii="Tahoma" w:eastAsia="Times New Roman" w:hAnsi="Tahoma" w:cs="Tahoma"/>
                <w:b/>
                <w:bCs/>
                <w:color w:val="000000"/>
                <w:sz w:val="18"/>
                <w:szCs w:val="18"/>
              </w:rPr>
            </w:pPr>
            <w:r>
              <w:rPr>
                <w:rFonts w:ascii="Tahoma" w:eastAsia="Times New Roman" w:hAnsi="Tahoma" w:cs="Tahoma"/>
                <w:b/>
                <w:bCs/>
                <w:color w:val="000000"/>
                <w:sz w:val="18"/>
                <w:szCs w:val="18"/>
              </w:rPr>
              <w:t>Sum of Squares</w:t>
            </w:r>
          </w:p>
        </w:tc>
        <w:tc>
          <w:tcPr>
            <w:tcW w:w="1840" w:type="dxa"/>
            <w:hideMark/>
          </w:tcPr>
          <w:p w:rsidR="00587374" w:rsidRDefault="00587374">
            <w:pPr>
              <w:autoSpaceDE w:val="0"/>
              <w:autoSpaceDN w:val="0"/>
              <w:adjustRightInd w:val="0"/>
              <w:spacing w:after="0" w:line="240" w:lineRule="auto"/>
              <w:jc w:val="right"/>
              <w:rPr>
                <w:rFonts w:ascii="Tahoma" w:eastAsia="Times New Roman" w:hAnsi="Tahoma" w:cs="Tahoma"/>
                <w:b/>
                <w:bCs/>
                <w:color w:val="000000"/>
                <w:sz w:val="18"/>
                <w:szCs w:val="18"/>
              </w:rPr>
            </w:pPr>
            <w:r>
              <w:rPr>
                <w:rFonts w:ascii="Tahoma" w:eastAsia="Times New Roman" w:hAnsi="Tahoma" w:cs="Tahoma"/>
                <w:b/>
                <w:bCs/>
                <w:color w:val="000000"/>
                <w:sz w:val="18"/>
                <w:szCs w:val="18"/>
              </w:rPr>
              <w:t>Mean Square</w:t>
            </w:r>
          </w:p>
        </w:tc>
        <w:tc>
          <w:tcPr>
            <w:tcW w:w="1320" w:type="dxa"/>
            <w:hideMark/>
          </w:tcPr>
          <w:p w:rsidR="00587374" w:rsidRDefault="00587374">
            <w:pPr>
              <w:autoSpaceDE w:val="0"/>
              <w:autoSpaceDN w:val="0"/>
              <w:adjustRightInd w:val="0"/>
              <w:spacing w:after="0" w:line="240" w:lineRule="auto"/>
              <w:jc w:val="right"/>
              <w:rPr>
                <w:rFonts w:ascii="Tahoma" w:eastAsia="Times New Roman" w:hAnsi="Tahoma" w:cs="Tahoma"/>
                <w:b/>
                <w:bCs/>
                <w:color w:val="000000"/>
                <w:sz w:val="18"/>
                <w:szCs w:val="18"/>
              </w:rPr>
            </w:pPr>
            <w:r>
              <w:rPr>
                <w:rFonts w:ascii="Tahoma" w:eastAsia="Times New Roman" w:hAnsi="Tahoma" w:cs="Tahoma"/>
                <w:b/>
                <w:bCs/>
                <w:color w:val="000000"/>
                <w:sz w:val="18"/>
                <w:szCs w:val="18"/>
              </w:rPr>
              <w:t>F Ratio</w:t>
            </w:r>
          </w:p>
        </w:tc>
      </w:tr>
      <w:tr w:rsidR="00587374" w:rsidTr="00587374">
        <w:tc>
          <w:tcPr>
            <w:tcW w:w="1100" w:type="dxa"/>
            <w:hideMark/>
          </w:tcPr>
          <w:p w:rsidR="00587374" w:rsidRDefault="00587374">
            <w:pPr>
              <w:autoSpaceDE w:val="0"/>
              <w:autoSpaceDN w:val="0"/>
              <w:adjustRightInd w:val="0"/>
              <w:spacing w:after="0" w:line="240" w:lineRule="auto"/>
              <w:rPr>
                <w:rFonts w:ascii="Tahoma" w:eastAsia="Times New Roman" w:hAnsi="Tahoma" w:cs="Tahoma"/>
                <w:color w:val="000000"/>
                <w:sz w:val="18"/>
                <w:szCs w:val="18"/>
              </w:rPr>
            </w:pPr>
            <w:r>
              <w:rPr>
                <w:rFonts w:ascii="Tahoma" w:eastAsia="Times New Roman" w:hAnsi="Tahoma" w:cs="Tahoma"/>
                <w:color w:val="000000"/>
                <w:sz w:val="18"/>
                <w:szCs w:val="18"/>
              </w:rPr>
              <w:t>Model</w:t>
            </w:r>
          </w:p>
        </w:tc>
        <w:tc>
          <w:tcPr>
            <w:tcW w:w="1040" w:type="dxa"/>
            <w:hideMark/>
          </w:tcPr>
          <w:p w:rsidR="00587374" w:rsidRDefault="00587374">
            <w:pPr>
              <w:autoSpaceDE w:val="0"/>
              <w:autoSpaceDN w:val="0"/>
              <w:adjustRightInd w:val="0"/>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1</w:t>
            </w:r>
          </w:p>
        </w:tc>
        <w:tc>
          <w:tcPr>
            <w:tcW w:w="1600" w:type="dxa"/>
            <w:hideMark/>
          </w:tcPr>
          <w:p w:rsidR="00587374" w:rsidRDefault="00587374">
            <w:pPr>
              <w:autoSpaceDE w:val="0"/>
              <w:autoSpaceDN w:val="0"/>
              <w:adjustRightInd w:val="0"/>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62806.63</w:t>
            </w:r>
          </w:p>
        </w:tc>
        <w:tc>
          <w:tcPr>
            <w:tcW w:w="1840" w:type="dxa"/>
            <w:hideMark/>
          </w:tcPr>
          <w:p w:rsidR="00587374" w:rsidRDefault="00587374">
            <w:pPr>
              <w:autoSpaceDE w:val="0"/>
              <w:autoSpaceDN w:val="0"/>
              <w:adjustRightInd w:val="0"/>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62806.6</w:t>
            </w:r>
          </w:p>
        </w:tc>
        <w:tc>
          <w:tcPr>
            <w:tcW w:w="1320" w:type="dxa"/>
            <w:hideMark/>
          </w:tcPr>
          <w:p w:rsidR="00587374" w:rsidRDefault="00587374">
            <w:pPr>
              <w:autoSpaceDE w:val="0"/>
              <w:autoSpaceDN w:val="0"/>
              <w:adjustRightInd w:val="0"/>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1181.167</w:t>
            </w:r>
          </w:p>
        </w:tc>
      </w:tr>
      <w:tr w:rsidR="00587374" w:rsidTr="00587374">
        <w:tc>
          <w:tcPr>
            <w:tcW w:w="1100" w:type="dxa"/>
            <w:hideMark/>
          </w:tcPr>
          <w:p w:rsidR="00587374" w:rsidRDefault="00587374">
            <w:pPr>
              <w:autoSpaceDE w:val="0"/>
              <w:autoSpaceDN w:val="0"/>
              <w:adjustRightInd w:val="0"/>
              <w:spacing w:after="0" w:line="240" w:lineRule="auto"/>
              <w:rPr>
                <w:rFonts w:ascii="Tahoma" w:eastAsia="Times New Roman" w:hAnsi="Tahoma" w:cs="Tahoma"/>
                <w:color w:val="000000"/>
                <w:sz w:val="18"/>
                <w:szCs w:val="18"/>
              </w:rPr>
            </w:pPr>
            <w:r>
              <w:rPr>
                <w:rFonts w:ascii="Tahoma" w:eastAsia="Times New Roman" w:hAnsi="Tahoma" w:cs="Tahoma"/>
                <w:color w:val="000000"/>
                <w:sz w:val="18"/>
                <w:szCs w:val="18"/>
              </w:rPr>
              <w:t>Error</w:t>
            </w:r>
          </w:p>
        </w:tc>
        <w:tc>
          <w:tcPr>
            <w:tcW w:w="1040" w:type="dxa"/>
            <w:hideMark/>
          </w:tcPr>
          <w:p w:rsidR="00587374" w:rsidRDefault="00587374">
            <w:pPr>
              <w:autoSpaceDE w:val="0"/>
              <w:autoSpaceDN w:val="0"/>
              <w:adjustRightInd w:val="0"/>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2313</w:t>
            </w:r>
          </w:p>
        </w:tc>
        <w:tc>
          <w:tcPr>
            <w:tcW w:w="1600" w:type="dxa"/>
            <w:hideMark/>
          </w:tcPr>
          <w:p w:rsidR="00587374" w:rsidRDefault="00587374">
            <w:pPr>
              <w:autoSpaceDE w:val="0"/>
              <w:autoSpaceDN w:val="0"/>
              <w:adjustRightInd w:val="0"/>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122989.99</w:t>
            </w:r>
          </w:p>
        </w:tc>
        <w:tc>
          <w:tcPr>
            <w:tcW w:w="1840" w:type="dxa"/>
            <w:hideMark/>
          </w:tcPr>
          <w:p w:rsidR="00587374" w:rsidRDefault="00587374">
            <w:pPr>
              <w:autoSpaceDE w:val="0"/>
              <w:autoSpaceDN w:val="0"/>
              <w:adjustRightInd w:val="0"/>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53.2</w:t>
            </w:r>
          </w:p>
        </w:tc>
        <w:tc>
          <w:tcPr>
            <w:tcW w:w="1320" w:type="dxa"/>
            <w:hideMark/>
          </w:tcPr>
          <w:p w:rsidR="00587374" w:rsidRDefault="00587374">
            <w:pPr>
              <w:autoSpaceDE w:val="0"/>
              <w:autoSpaceDN w:val="0"/>
              <w:adjustRightInd w:val="0"/>
              <w:spacing w:after="0" w:line="240" w:lineRule="auto"/>
              <w:jc w:val="right"/>
              <w:rPr>
                <w:rFonts w:ascii="Tahoma" w:eastAsia="Times New Roman" w:hAnsi="Tahoma" w:cs="Tahoma"/>
                <w:b/>
                <w:bCs/>
                <w:color w:val="000000"/>
                <w:sz w:val="18"/>
                <w:szCs w:val="18"/>
              </w:rPr>
            </w:pPr>
            <w:proofErr w:type="spellStart"/>
            <w:r>
              <w:rPr>
                <w:rFonts w:ascii="Tahoma" w:eastAsia="Times New Roman" w:hAnsi="Tahoma" w:cs="Tahoma"/>
                <w:b/>
                <w:bCs/>
                <w:color w:val="000000"/>
                <w:sz w:val="18"/>
                <w:szCs w:val="18"/>
              </w:rPr>
              <w:t>Prob</w:t>
            </w:r>
            <w:proofErr w:type="spellEnd"/>
            <w:r>
              <w:rPr>
                <w:rFonts w:ascii="Tahoma" w:eastAsia="Times New Roman" w:hAnsi="Tahoma" w:cs="Tahoma"/>
                <w:b/>
                <w:bCs/>
                <w:color w:val="000000"/>
                <w:sz w:val="18"/>
                <w:szCs w:val="18"/>
              </w:rPr>
              <w:t xml:space="preserve"> &gt; F</w:t>
            </w:r>
          </w:p>
        </w:tc>
      </w:tr>
      <w:tr w:rsidR="00587374" w:rsidTr="00587374">
        <w:tc>
          <w:tcPr>
            <w:tcW w:w="1100" w:type="dxa"/>
            <w:hideMark/>
          </w:tcPr>
          <w:p w:rsidR="00587374" w:rsidRDefault="00587374">
            <w:pPr>
              <w:autoSpaceDE w:val="0"/>
              <w:autoSpaceDN w:val="0"/>
              <w:adjustRightInd w:val="0"/>
              <w:spacing w:after="0" w:line="240" w:lineRule="auto"/>
              <w:rPr>
                <w:rFonts w:ascii="Tahoma" w:eastAsia="Times New Roman" w:hAnsi="Tahoma" w:cs="Tahoma"/>
                <w:color w:val="000000"/>
                <w:sz w:val="18"/>
                <w:szCs w:val="18"/>
              </w:rPr>
            </w:pPr>
            <w:r>
              <w:rPr>
                <w:rFonts w:ascii="Tahoma" w:eastAsia="Times New Roman" w:hAnsi="Tahoma" w:cs="Tahoma"/>
                <w:color w:val="000000"/>
                <w:sz w:val="18"/>
                <w:szCs w:val="18"/>
              </w:rPr>
              <w:t>C. Total</w:t>
            </w:r>
          </w:p>
        </w:tc>
        <w:tc>
          <w:tcPr>
            <w:tcW w:w="1040" w:type="dxa"/>
            <w:hideMark/>
          </w:tcPr>
          <w:p w:rsidR="00587374" w:rsidRDefault="00587374">
            <w:pPr>
              <w:autoSpaceDE w:val="0"/>
              <w:autoSpaceDN w:val="0"/>
              <w:adjustRightInd w:val="0"/>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2314</w:t>
            </w:r>
          </w:p>
        </w:tc>
        <w:tc>
          <w:tcPr>
            <w:tcW w:w="1600" w:type="dxa"/>
            <w:hideMark/>
          </w:tcPr>
          <w:p w:rsidR="00587374" w:rsidRDefault="00587374">
            <w:pPr>
              <w:autoSpaceDE w:val="0"/>
              <w:autoSpaceDN w:val="0"/>
              <w:adjustRightInd w:val="0"/>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185796.62</w:t>
            </w:r>
          </w:p>
        </w:tc>
        <w:tc>
          <w:tcPr>
            <w:tcW w:w="1840" w:type="dxa"/>
          </w:tcPr>
          <w:p w:rsidR="00587374" w:rsidRDefault="00587374">
            <w:pPr>
              <w:autoSpaceDE w:val="0"/>
              <w:autoSpaceDN w:val="0"/>
              <w:adjustRightInd w:val="0"/>
              <w:spacing w:after="0" w:line="240" w:lineRule="auto"/>
              <w:jc w:val="right"/>
              <w:rPr>
                <w:rFonts w:ascii="Tahoma" w:eastAsia="Times New Roman" w:hAnsi="Tahoma" w:cs="Tahoma"/>
                <w:color w:val="000000"/>
                <w:sz w:val="18"/>
                <w:szCs w:val="18"/>
              </w:rPr>
            </w:pPr>
          </w:p>
        </w:tc>
        <w:tc>
          <w:tcPr>
            <w:tcW w:w="1320" w:type="dxa"/>
            <w:hideMark/>
          </w:tcPr>
          <w:p w:rsidR="00587374" w:rsidRDefault="00587374">
            <w:pPr>
              <w:autoSpaceDE w:val="0"/>
              <w:autoSpaceDN w:val="0"/>
              <w:adjustRightInd w:val="0"/>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&lt;.0001*</w:t>
            </w:r>
          </w:p>
        </w:tc>
      </w:tr>
    </w:tbl>
    <w:p w:rsidR="00587374" w:rsidRDefault="00587374" w:rsidP="00587374">
      <w:pPr>
        <w:autoSpaceDE w:val="0"/>
        <w:autoSpaceDN w:val="0"/>
        <w:adjustRightInd w:val="0"/>
        <w:spacing w:after="0" w:line="240" w:lineRule="auto"/>
        <w:rPr>
          <w:rFonts w:ascii="Tahoma" w:eastAsia="Times New Roman" w:hAnsi="Tahoma" w:cs="Tahoma"/>
          <w:color w:val="000000"/>
          <w:sz w:val="18"/>
          <w:szCs w:val="18"/>
        </w:rPr>
      </w:pPr>
    </w:p>
    <w:p w:rsidR="00587374" w:rsidRDefault="00587374" w:rsidP="00587374">
      <w:pPr>
        <w:keepNext/>
        <w:autoSpaceDE w:val="0"/>
        <w:autoSpaceDN w:val="0"/>
        <w:adjustRightInd w:val="0"/>
        <w:spacing w:after="0" w:line="240" w:lineRule="auto"/>
        <w:rPr>
          <w:rFonts w:ascii="Tahoma" w:eastAsia="Times New Roman" w:hAnsi="Tahoma" w:cs="Tahoma"/>
          <w:b/>
          <w:bCs/>
          <w:color w:val="000000"/>
        </w:rPr>
      </w:pPr>
      <w:r>
        <w:rPr>
          <w:rFonts w:ascii="Tahoma" w:eastAsia="Times New Roman" w:hAnsi="Tahoma" w:cs="Tahoma"/>
          <w:b/>
          <w:bCs/>
          <w:color w:val="000000"/>
        </w:rPr>
        <w:t>Parameter Estimates</w:t>
      </w:r>
    </w:p>
    <w:tbl>
      <w:tblPr>
        <w:tblW w:w="0" w:type="auto"/>
        <w:tblLayout w:type="fixed"/>
        <w:tblCellMar>
          <w:left w:w="40" w:type="dxa"/>
          <w:right w:w="40" w:type="dxa"/>
        </w:tblCellMar>
        <w:tblLook w:val="04A0" w:firstRow="1" w:lastRow="0" w:firstColumn="1" w:lastColumn="0" w:noHBand="0" w:noVBand="1"/>
      </w:tblPr>
      <w:tblGrid>
        <w:gridCol w:w="1240"/>
        <w:gridCol w:w="1520"/>
        <w:gridCol w:w="1460"/>
        <w:gridCol w:w="1340"/>
        <w:gridCol w:w="1080"/>
        <w:gridCol w:w="1440"/>
      </w:tblGrid>
      <w:tr w:rsidR="00587374" w:rsidTr="00587374">
        <w:trPr>
          <w:tblHeader/>
        </w:trPr>
        <w:tc>
          <w:tcPr>
            <w:tcW w:w="1240" w:type="dxa"/>
            <w:hideMark/>
          </w:tcPr>
          <w:p w:rsidR="00587374" w:rsidRDefault="00587374">
            <w:pPr>
              <w:autoSpaceDE w:val="0"/>
              <w:autoSpaceDN w:val="0"/>
              <w:adjustRightInd w:val="0"/>
              <w:spacing w:after="0" w:line="240" w:lineRule="auto"/>
              <w:rPr>
                <w:rFonts w:ascii="Tahoma" w:eastAsia="Times New Roman" w:hAnsi="Tahoma" w:cs="Tahoma"/>
                <w:b/>
                <w:bCs/>
                <w:color w:val="000000"/>
                <w:sz w:val="18"/>
                <w:szCs w:val="18"/>
              </w:rPr>
            </w:pPr>
            <w:r>
              <w:rPr>
                <w:rFonts w:ascii="Tahoma" w:eastAsia="Times New Roman" w:hAnsi="Tahoma" w:cs="Tahoma"/>
                <w:b/>
                <w:bCs/>
                <w:color w:val="000000"/>
                <w:sz w:val="18"/>
                <w:szCs w:val="18"/>
              </w:rPr>
              <w:t>Term</w:t>
            </w:r>
          </w:p>
        </w:tc>
        <w:tc>
          <w:tcPr>
            <w:tcW w:w="1520" w:type="dxa"/>
            <w:hideMark/>
          </w:tcPr>
          <w:p w:rsidR="00587374" w:rsidRDefault="00587374">
            <w:pPr>
              <w:autoSpaceDE w:val="0"/>
              <w:autoSpaceDN w:val="0"/>
              <w:adjustRightInd w:val="0"/>
              <w:spacing w:after="0" w:line="240" w:lineRule="auto"/>
              <w:rPr>
                <w:rFonts w:ascii="Tahoma" w:eastAsia="Times New Roman" w:hAnsi="Tahoma" w:cs="Tahoma"/>
                <w:b/>
                <w:bCs/>
                <w:color w:val="000000"/>
                <w:sz w:val="18"/>
                <w:szCs w:val="18"/>
              </w:rPr>
            </w:pPr>
            <w:r>
              <w:rPr>
                <w:rFonts w:ascii="Tahoma" w:eastAsia="Times New Roman" w:hAnsi="Tahoma" w:cs="Tahoma"/>
                <w:b/>
                <w:bCs/>
                <w:color w:val="000000"/>
                <w:sz w:val="18"/>
                <w:szCs w:val="18"/>
              </w:rPr>
              <w:t xml:space="preserve"> </w:t>
            </w:r>
          </w:p>
        </w:tc>
        <w:tc>
          <w:tcPr>
            <w:tcW w:w="1460" w:type="dxa"/>
            <w:hideMark/>
          </w:tcPr>
          <w:p w:rsidR="00587374" w:rsidRDefault="00587374">
            <w:pPr>
              <w:autoSpaceDE w:val="0"/>
              <w:autoSpaceDN w:val="0"/>
              <w:adjustRightInd w:val="0"/>
              <w:spacing w:after="0" w:line="240" w:lineRule="auto"/>
              <w:jc w:val="right"/>
              <w:rPr>
                <w:rFonts w:ascii="Tahoma" w:eastAsia="Times New Roman" w:hAnsi="Tahoma" w:cs="Tahoma"/>
                <w:b/>
                <w:bCs/>
                <w:color w:val="000000"/>
                <w:sz w:val="18"/>
                <w:szCs w:val="18"/>
              </w:rPr>
            </w:pPr>
            <w:r>
              <w:rPr>
                <w:rFonts w:ascii="Tahoma" w:eastAsia="Times New Roman" w:hAnsi="Tahoma" w:cs="Tahoma"/>
                <w:b/>
                <w:bCs/>
                <w:color w:val="000000"/>
                <w:sz w:val="18"/>
                <w:szCs w:val="18"/>
              </w:rPr>
              <w:t>Estimate</w:t>
            </w:r>
          </w:p>
        </w:tc>
        <w:tc>
          <w:tcPr>
            <w:tcW w:w="1340" w:type="dxa"/>
            <w:hideMark/>
          </w:tcPr>
          <w:p w:rsidR="00587374" w:rsidRDefault="00587374">
            <w:pPr>
              <w:autoSpaceDE w:val="0"/>
              <w:autoSpaceDN w:val="0"/>
              <w:adjustRightInd w:val="0"/>
              <w:spacing w:after="0" w:line="240" w:lineRule="auto"/>
              <w:jc w:val="right"/>
              <w:rPr>
                <w:rFonts w:ascii="Tahoma" w:eastAsia="Times New Roman" w:hAnsi="Tahoma" w:cs="Tahoma"/>
                <w:b/>
                <w:bCs/>
                <w:color w:val="000000"/>
                <w:sz w:val="18"/>
                <w:szCs w:val="18"/>
              </w:rPr>
            </w:pPr>
            <w:proofErr w:type="spellStart"/>
            <w:r>
              <w:rPr>
                <w:rFonts w:ascii="Tahoma" w:eastAsia="Times New Roman" w:hAnsi="Tahoma" w:cs="Tahoma"/>
                <w:b/>
                <w:bCs/>
                <w:color w:val="000000"/>
                <w:sz w:val="18"/>
                <w:szCs w:val="18"/>
              </w:rPr>
              <w:t>Std</w:t>
            </w:r>
            <w:proofErr w:type="spellEnd"/>
            <w:r>
              <w:rPr>
                <w:rFonts w:ascii="Tahoma" w:eastAsia="Times New Roman" w:hAnsi="Tahoma" w:cs="Tahoma"/>
                <w:b/>
                <w:bCs/>
                <w:color w:val="000000"/>
                <w:sz w:val="18"/>
                <w:szCs w:val="18"/>
              </w:rPr>
              <w:t xml:space="preserve"> Error</w:t>
            </w:r>
          </w:p>
        </w:tc>
        <w:tc>
          <w:tcPr>
            <w:tcW w:w="1080" w:type="dxa"/>
            <w:hideMark/>
          </w:tcPr>
          <w:p w:rsidR="00587374" w:rsidRDefault="00587374">
            <w:pPr>
              <w:autoSpaceDE w:val="0"/>
              <w:autoSpaceDN w:val="0"/>
              <w:adjustRightInd w:val="0"/>
              <w:spacing w:after="0" w:line="240" w:lineRule="auto"/>
              <w:jc w:val="right"/>
              <w:rPr>
                <w:rFonts w:ascii="Tahoma" w:eastAsia="Times New Roman" w:hAnsi="Tahoma" w:cs="Tahoma"/>
                <w:b/>
                <w:bCs/>
                <w:color w:val="000000"/>
                <w:sz w:val="18"/>
                <w:szCs w:val="18"/>
              </w:rPr>
            </w:pPr>
            <w:r>
              <w:rPr>
                <w:rFonts w:ascii="Tahoma" w:eastAsia="Times New Roman" w:hAnsi="Tahoma" w:cs="Tahoma"/>
                <w:b/>
                <w:bCs/>
                <w:color w:val="000000"/>
                <w:sz w:val="18"/>
                <w:szCs w:val="18"/>
              </w:rPr>
              <w:t>t Ratio</w:t>
            </w:r>
          </w:p>
        </w:tc>
        <w:tc>
          <w:tcPr>
            <w:tcW w:w="1440" w:type="dxa"/>
            <w:hideMark/>
          </w:tcPr>
          <w:p w:rsidR="00587374" w:rsidRDefault="00587374">
            <w:pPr>
              <w:autoSpaceDE w:val="0"/>
              <w:autoSpaceDN w:val="0"/>
              <w:adjustRightInd w:val="0"/>
              <w:spacing w:after="0" w:line="240" w:lineRule="auto"/>
              <w:jc w:val="right"/>
              <w:rPr>
                <w:rFonts w:ascii="Tahoma" w:eastAsia="Times New Roman" w:hAnsi="Tahoma" w:cs="Tahoma"/>
                <w:b/>
                <w:bCs/>
                <w:color w:val="000000"/>
                <w:sz w:val="18"/>
                <w:szCs w:val="18"/>
              </w:rPr>
            </w:pPr>
            <w:proofErr w:type="spellStart"/>
            <w:r>
              <w:rPr>
                <w:rFonts w:ascii="Tahoma" w:eastAsia="Times New Roman" w:hAnsi="Tahoma" w:cs="Tahoma"/>
                <w:b/>
                <w:bCs/>
                <w:color w:val="000000"/>
                <w:sz w:val="18"/>
                <w:szCs w:val="18"/>
              </w:rPr>
              <w:t>Prob</w:t>
            </w:r>
            <w:proofErr w:type="spellEnd"/>
            <w:r>
              <w:rPr>
                <w:rFonts w:ascii="Tahoma" w:eastAsia="Times New Roman" w:hAnsi="Tahoma" w:cs="Tahoma"/>
                <w:b/>
                <w:bCs/>
                <w:color w:val="000000"/>
                <w:sz w:val="18"/>
                <w:szCs w:val="18"/>
              </w:rPr>
              <w:t>&gt;|t|</w:t>
            </w:r>
          </w:p>
        </w:tc>
      </w:tr>
      <w:tr w:rsidR="00587374" w:rsidTr="00587374">
        <w:tc>
          <w:tcPr>
            <w:tcW w:w="1240" w:type="dxa"/>
            <w:hideMark/>
          </w:tcPr>
          <w:p w:rsidR="00587374" w:rsidRDefault="00587374">
            <w:pPr>
              <w:autoSpaceDE w:val="0"/>
              <w:autoSpaceDN w:val="0"/>
              <w:adjustRightInd w:val="0"/>
              <w:spacing w:after="0" w:line="240" w:lineRule="auto"/>
              <w:rPr>
                <w:rFonts w:ascii="Tahoma" w:eastAsia="Times New Roman" w:hAnsi="Tahoma" w:cs="Tahoma"/>
                <w:color w:val="000000"/>
                <w:sz w:val="18"/>
                <w:szCs w:val="18"/>
              </w:rPr>
            </w:pPr>
            <w:r>
              <w:rPr>
                <w:rFonts w:ascii="Tahoma" w:eastAsia="Times New Roman" w:hAnsi="Tahoma" w:cs="Tahoma"/>
                <w:color w:val="000000"/>
                <w:sz w:val="18"/>
                <w:szCs w:val="18"/>
              </w:rPr>
              <w:t>Intercept</w:t>
            </w:r>
          </w:p>
        </w:tc>
        <w:tc>
          <w:tcPr>
            <w:tcW w:w="1520" w:type="dxa"/>
          </w:tcPr>
          <w:p w:rsidR="00587374" w:rsidRDefault="00587374">
            <w:pPr>
              <w:autoSpaceDE w:val="0"/>
              <w:autoSpaceDN w:val="0"/>
              <w:adjustRightInd w:val="0"/>
              <w:spacing w:after="0" w:line="240" w:lineRule="auto"/>
              <w:rPr>
                <w:rFonts w:ascii="Tahoma" w:eastAsia="Times New Roman" w:hAnsi="Tahoma" w:cs="Tahoma"/>
                <w:color w:val="000000"/>
                <w:sz w:val="18"/>
                <w:szCs w:val="18"/>
              </w:rPr>
            </w:pPr>
          </w:p>
        </w:tc>
        <w:tc>
          <w:tcPr>
            <w:tcW w:w="1460" w:type="dxa"/>
            <w:hideMark/>
          </w:tcPr>
          <w:p w:rsidR="00587374" w:rsidRDefault="00587374">
            <w:pPr>
              <w:autoSpaceDE w:val="0"/>
              <w:autoSpaceDN w:val="0"/>
              <w:adjustRightInd w:val="0"/>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32.386377</w:t>
            </w:r>
          </w:p>
        </w:tc>
        <w:tc>
          <w:tcPr>
            <w:tcW w:w="1340" w:type="dxa"/>
            <w:hideMark/>
          </w:tcPr>
          <w:p w:rsidR="00587374" w:rsidRDefault="00587374">
            <w:pPr>
              <w:autoSpaceDE w:val="0"/>
              <w:autoSpaceDN w:val="0"/>
              <w:adjustRightInd w:val="0"/>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0.470806</w:t>
            </w:r>
          </w:p>
        </w:tc>
        <w:tc>
          <w:tcPr>
            <w:tcW w:w="1080" w:type="dxa"/>
            <w:hideMark/>
          </w:tcPr>
          <w:p w:rsidR="00587374" w:rsidRDefault="00587374">
            <w:pPr>
              <w:autoSpaceDE w:val="0"/>
              <w:autoSpaceDN w:val="0"/>
              <w:adjustRightInd w:val="0"/>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68.79</w:t>
            </w:r>
          </w:p>
        </w:tc>
        <w:tc>
          <w:tcPr>
            <w:tcW w:w="1440" w:type="dxa"/>
            <w:hideMark/>
          </w:tcPr>
          <w:p w:rsidR="00587374" w:rsidRDefault="00587374">
            <w:pPr>
              <w:autoSpaceDE w:val="0"/>
              <w:autoSpaceDN w:val="0"/>
              <w:adjustRightInd w:val="0"/>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&lt;.0001*</w:t>
            </w:r>
          </w:p>
        </w:tc>
      </w:tr>
      <w:tr w:rsidR="00587374" w:rsidTr="00587374">
        <w:tc>
          <w:tcPr>
            <w:tcW w:w="1240" w:type="dxa"/>
            <w:hideMark/>
          </w:tcPr>
          <w:p w:rsidR="00587374" w:rsidRDefault="00587374">
            <w:pPr>
              <w:autoSpaceDE w:val="0"/>
              <w:autoSpaceDN w:val="0"/>
              <w:adjustRightInd w:val="0"/>
              <w:spacing w:after="0" w:line="240" w:lineRule="auto"/>
              <w:rPr>
                <w:rFonts w:ascii="Tahoma" w:eastAsia="Times New Roman" w:hAnsi="Tahoma" w:cs="Tahoma"/>
                <w:color w:val="000000"/>
                <w:sz w:val="18"/>
                <w:szCs w:val="18"/>
              </w:rPr>
            </w:pPr>
            <w:proofErr w:type="spellStart"/>
            <w:r>
              <w:rPr>
                <w:rFonts w:ascii="Tahoma" w:eastAsia="Times New Roman" w:hAnsi="Tahoma" w:cs="Tahoma"/>
                <w:color w:val="000000"/>
                <w:sz w:val="18"/>
                <w:szCs w:val="18"/>
              </w:rPr>
              <w:t>Preop</w:t>
            </w:r>
            <w:proofErr w:type="spellEnd"/>
          </w:p>
        </w:tc>
        <w:tc>
          <w:tcPr>
            <w:tcW w:w="1520" w:type="dxa"/>
          </w:tcPr>
          <w:p w:rsidR="00587374" w:rsidRDefault="00587374">
            <w:pPr>
              <w:autoSpaceDE w:val="0"/>
              <w:autoSpaceDN w:val="0"/>
              <w:adjustRightInd w:val="0"/>
              <w:spacing w:after="0" w:line="240" w:lineRule="auto"/>
              <w:rPr>
                <w:rFonts w:ascii="Tahoma" w:eastAsia="Times New Roman" w:hAnsi="Tahoma" w:cs="Tahoma"/>
                <w:color w:val="000000"/>
                <w:sz w:val="18"/>
                <w:szCs w:val="18"/>
              </w:rPr>
            </w:pPr>
          </w:p>
        </w:tc>
        <w:tc>
          <w:tcPr>
            <w:tcW w:w="1460" w:type="dxa"/>
            <w:hideMark/>
          </w:tcPr>
          <w:p w:rsidR="00587374" w:rsidRDefault="00587374">
            <w:pPr>
              <w:autoSpaceDE w:val="0"/>
              <w:autoSpaceDN w:val="0"/>
              <w:adjustRightInd w:val="0"/>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 xml:space="preserve"> -0.677126</w:t>
            </w:r>
          </w:p>
        </w:tc>
        <w:tc>
          <w:tcPr>
            <w:tcW w:w="1340" w:type="dxa"/>
            <w:hideMark/>
          </w:tcPr>
          <w:p w:rsidR="00587374" w:rsidRDefault="00587374">
            <w:pPr>
              <w:autoSpaceDE w:val="0"/>
              <w:autoSpaceDN w:val="0"/>
              <w:adjustRightInd w:val="0"/>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0.019702</w:t>
            </w:r>
          </w:p>
        </w:tc>
        <w:tc>
          <w:tcPr>
            <w:tcW w:w="1080" w:type="dxa"/>
            <w:hideMark/>
          </w:tcPr>
          <w:p w:rsidR="00587374" w:rsidRDefault="00587374">
            <w:pPr>
              <w:autoSpaceDE w:val="0"/>
              <w:autoSpaceDN w:val="0"/>
              <w:adjustRightInd w:val="0"/>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 xml:space="preserve"> -34.37</w:t>
            </w:r>
          </w:p>
        </w:tc>
        <w:tc>
          <w:tcPr>
            <w:tcW w:w="1440" w:type="dxa"/>
            <w:hideMark/>
          </w:tcPr>
          <w:p w:rsidR="00587374" w:rsidRDefault="00587374">
            <w:pPr>
              <w:autoSpaceDE w:val="0"/>
              <w:autoSpaceDN w:val="0"/>
              <w:adjustRightInd w:val="0"/>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&lt;.0001*</w:t>
            </w:r>
          </w:p>
        </w:tc>
      </w:tr>
    </w:tbl>
    <w:p w:rsidR="00587374" w:rsidRDefault="00587374" w:rsidP="00587374">
      <w:pPr>
        <w:autoSpaceDE w:val="0"/>
        <w:autoSpaceDN w:val="0"/>
        <w:adjustRightInd w:val="0"/>
        <w:spacing w:after="0" w:line="240" w:lineRule="auto"/>
        <w:rPr>
          <w:rFonts w:cstheme="minorHAnsi"/>
          <w:b/>
          <w:bCs/>
        </w:rPr>
      </w:pPr>
    </w:p>
    <w:p w:rsidR="00587374" w:rsidRDefault="00587374" w:rsidP="00587374">
      <w:pPr>
        <w:autoSpaceDE w:val="0"/>
        <w:autoSpaceDN w:val="0"/>
        <w:adjustRightInd w:val="0"/>
        <w:spacing w:after="0" w:line="240" w:lineRule="auto"/>
        <w:rPr>
          <w:rFonts w:cstheme="minorHAnsi"/>
          <w:b/>
          <w:bCs/>
        </w:rPr>
      </w:pPr>
      <w:r>
        <w:rPr>
          <w:rFonts w:cstheme="minorHAnsi"/>
          <w:b/>
          <w:bCs/>
        </w:rPr>
        <w:t xml:space="preserve">2b4.7. Statistical Risk Model Calibration Statistics </w:t>
      </w:r>
      <w:r>
        <w:rPr>
          <w:rFonts w:cstheme="minorHAnsi"/>
          <w:bCs/>
        </w:rPr>
        <w:t>(</w:t>
      </w:r>
      <w:r>
        <w:rPr>
          <w:rFonts w:cstheme="minorHAnsi"/>
          <w:bCs/>
          <w:i/>
        </w:rPr>
        <w:t>e.g., Hosmer-</w:t>
      </w:r>
      <w:proofErr w:type="spellStart"/>
      <w:r>
        <w:rPr>
          <w:rFonts w:cstheme="minorHAnsi"/>
          <w:bCs/>
          <w:i/>
        </w:rPr>
        <w:t>Lemeshow</w:t>
      </w:r>
      <w:proofErr w:type="spellEnd"/>
      <w:r>
        <w:rPr>
          <w:rFonts w:cstheme="minorHAnsi"/>
          <w:bCs/>
          <w:i/>
        </w:rPr>
        <w:t xml:space="preserve"> statistic</w:t>
      </w:r>
      <w:r>
        <w:rPr>
          <w:rFonts w:cstheme="minorHAnsi"/>
          <w:bCs/>
        </w:rPr>
        <w:t xml:space="preserve">):  </w:t>
      </w:r>
      <w:r>
        <w:rPr>
          <w:rFonts w:cstheme="minorHAnsi"/>
          <w:bCs/>
        </w:rPr>
        <w:br/>
      </w:r>
    </w:p>
    <w:p w:rsidR="00587374" w:rsidRDefault="00587374" w:rsidP="00587374">
      <w:pPr>
        <w:autoSpaceDE w:val="0"/>
        <w:autoSpaceDN w:val="0"/>
        <w:adjustRightInd w:val="0"/>
        <w:spacing w:after="0" w:line="240" w:lineRule="auto"/>
        <w:rPr>
          <w:rFonts w:cstheme="minorHAnsi"/>
          <w:b/>
        </w:rPr>
      </w:pPr>
      <w:r>
        <w:rPr>
          <w:rFonts w:cstheme="minorHAnsi"/>
          <w:b/>
          <w:bCs/>
        </w:rPr>
        <w:t>2b4.8. Statistical Risk Model Calibration – Risk decile plots or calibration curves</w:t>
      </w:r>
      <w:r>
        <w:rPr>
          <w:rFonts w:cstheme="minorHAnsi"/>
          <w:bCs/>
        </w:rPr>
        <w:t>:</w:t>
      </w:r>
      <w:r>
        <w:rPr>
          <w:rFonts w:cstheme="minorHAnsi"/>
          <w:bCs/>
        </w:rPr>
        <w:br/>
      </w:r>
      <w:r>
        <w:rPr>
          <w:rFonts w:cstheme="minorHAnsi"/>
        </w:rPr>
        <w:br/>
      </w:r>
    </w:p>
    <w:p w:rsidR="00587374" w:rsidRDefault="00587374" w:rsidP="00587374">
      <w:pPr>
        <w:autoSpaceDE w:val="0"/>
        <w:autoSpaceDN w:val="0"/>
        <w:adjustRightInd w:val="0"/>
        <w:spacing w:after="0" w:line="240" w:lineRule="auto"/>
        <w:rPr>
          <w:rFonts w:cstheme="minorHAnsi"/>
          <w:bCs/>
        </w:rPr>
      </w:pPr>
      <w:bookmarkStart w:id="0" w:name="question2b49"/>
      <w:bookmarkEnd w:id="0"/>
      <w:r>
        <w:rPr>
          <w:rFonts w:cstheme="minorHAnsi"/>
          <w:b/>
        </w:rPr>
        <w:t>2b4.9. Results of Risk Stratification Analysis</w:t>
      </w:r>
      <w:r>
        <w:rPr>
          <w:rFonts w:cstheme="minorHAnsi"/>
        </w:rPr>
        <w:t xml:space="preserve">: </w:t>
      </w:r>
      <w:r>
        <w:rPr>
          <w:rFonts w:cstheme="minorHAnsi"/>
          <w:bCs/>
        </w:rPr>
        <w:t xml:space="preserve"> </w:t>
      </w:r>
    </w:p>
    <w:tbl>
      <w:tblPr>
        <w:tblW w:w="10753" w:type="dxa"/>
        <w:tblInd w:w="-698" w:type="dxa"/>
        <w:tblLook w:val="04A0" w:firstRow="1" w:lastRow="0" w:firstColumn="1" w:lastColumn="0" w:noHBand="0" w:noVBand="1"/>
      </w:tblPr>
      <w:tblGrid>
        <w:gridCol w:w="768"/>
        <w:gridCol w:w="1071"/>
        <w:gridCol w:w="1046"/>
        <w:gridCol w:w="900"/>
        <w:gridCol w:w="762"/>
        <w:gridCol w:w="1483"/>
        <w:gridCol w:w="1203"/>
        <w:gridCol w:w="960"/>
        <w:gridCol w:w="960"/>
        <w:gridCol w:w="1600"/>
      </w:tblGrid>
      <w:tr w:rsidR="00587374" w:rsidTr="00587374">
        <w:trPr>
          <w:trHeight w:val="690"/>
        </w:trPr>
        <w:tc>
          <w:tcPr>
            <w:tcW w:w="6030" w:type="dxa"/>
            <w:gridSpan w:val="6"/>
            <w:tcBorders>
              <w:top w:val="single" w:sz="8" w:space="0" w:color="auto"/>
              <w:left w:val="single" w:sz="4" w:space="0" w:color="auto"/>
              <w:bottom w:val="single" w:sz="8" w:space="0" w:color="auto"/>
              <w:right w:val="single" w:sz="8" w:space="0" w:color="auto"/>
            </w:tcBorders>
            <w:shd w:val="pct50" w:color="FFFF99" w:fill="auto"/>
            <w:vAlign w:val="bottom"/>
            <w:hideMark/>
          </w:tcPr>
          <w:p w:rsidR="00587374" w:rsidRDefault="00587374">
            <w:pPr>
              <w:jc w:val="right"/>
              <w:rPr>
                <w:rFonts w:ascii="Tahoma" w:hAnsi="Tahoma" w:cs="Tahoma"/>
                <w:b/>
                <w:bCs/>
                <w:color w:val="000080"/>
                <w:sz w:val="18"/>
                <w:szCs w:val="18"/>
              </w:rPr>
            </w:pPr>
            <w:r>
              <w:rPr>
                <w:rFonts w:ascii="Tahoma" w:hAnsi="Tahoma" w:cs="Tahoma"/>
                <w:b/>
                <w:bCs/>
                <w:color w:val="000080"/>
                <w:sz w:val="18"/>
                <w:szCs w:val="18"/>
              </w:rPr>
              <w:t>Without adjustment</w:t>
            </w:r>
          </w:p>
        </w:tc>
        <w:tc>
          <w:tcPr>
            <w:tcW w:w="4723" w:type="dxa"/>
            <w:gridSpan w:val="4"/>
            <w:tcBorders>
              <w:top w:val="nil"/>
              <w:left w:val="nil"/>
              <w:bottom w:val="single" w:sz="4" w:space="0" w:color="auto"/>
              <w:right w:val="single" w:sz="4" w:space="0" w:color="auto"/>
            </w:tcBorders>
            <w:shd w:val="pct50" w:color="FFFF99" w:fill="auto"/>
            <w:vAlign w:val="bottom"/>
            <w:hideMark/>
          </w:tcPr>
          <w:p w:rsidR="00587374" w:rsidRDefault="00587374">
            <w:pPr>
              <w:jc w:val="right"/>
              <w:rPr>
                <w:rFonts w:ascii="Tahoma" w:hAnsi="Tahoma" w:cs="Tahoma"/>
                <w:b/>
                <w:bCs/>
                <w:color w:val="000080"/>
                <w:sz w:val="18"/>
                <w:szCs w:val="18"/>
              </w:rPr>
            </w:pPr>
            <w:r>
              <w:rPr>
                <w:rFonts w:ascii="Tahoma" w:hAnsi="Tahoma" w:cs="Tahoma"/>
                <w:b/>
                <w:bCs/>
                <w:color w:val="000080"/>
                <w:sz w:val="18"/>
                <w:szCs w:val="18"/>
              </w:rPr>
              <w:t xml:space="preserve">With adjustment by initial </w:t>
            </w:r>
            <w:proofErr w:type="spellStart"/>
            <w:r>
              <w:rPr>
                <w:rFonts w:ascii="Tahoma" w:hAnsi="Tahoma" w:cs="Tahoma"/>
                <w:b/>
                <w:bCs/>
                <w:color w:val="000080"/>
                <w:sz w:val="18"/>
                <w:szCs w:val="18"/>
              </w:rPr>
              <w:t>fx</w:t>
            </w:r>
            <w:proofErr w:type="spellEnd"/>
            <w:r>
              <w:rPr>
                <w:rFonts w:ascii="Tahoma" w:hAnsi="Tahoma" w:cs="Tahoma"/>
                <w:b/>
                <w:bCs/>
                <w:color w:val="000080"/>
                <w:sz w:val="18"/>
                <w:szCs w:val="18"/>
              </w:rPr>
              <w:t xml:space="preserve"> status</w:t>
            </w:r>
          </w:p>
        </w:tc>
      </w:tr>
      <w:tr w:rsidR="00587374" w:rsidTr="00587374">
        <w:trPr>
          <w:trHeight w:val="690"/>
        </w:trPr>
        <w:tc>
          <w:tcPr>
            <w:tcW w:w="768" w:type="dxa"/>
            <w:tcBorders>
              <w:top w:val="single" w:sz="8" w:space="0" w:color="auto"/>
              <w:left w:val="single" w:sz="4" w:space="0" w:color="auto"/>
              <w:bottom w:val="single" w:sz="8" w:space="0" w:color="auto"/>
              <w:right w:val="single" w:sz="4" w:space="0" w:color="auto"/>
            </w:tcBorders>
            <w:shd w:val="pct50" w:color="FFFF99" w:fill="auto"/>
            <w:vAlign w:val="bottom"/>
            <w:hideMark/>
          </w:tcPr>
          <w:p w:rsidR="00587374" w:rsidRDefault="00587374">
            <w:pPr>
              <w:spacing w:after="0" w:line="240" w:lineRule="auto"/>
              <w:rPr>
                <w:rFonts w:ascii="Tahoma" w:eastAsia="Times New Roman" w:hAnsi="Tahoma" w:cs="Tahoma"/>
                <w:b/>
                <w:bCs/>
                <w:color w:val="000080"/>
                <w:sz w:val="18"/>
                <w:szCs w:val="18"/>
              </w:rPr>
            </w:pPr>
            <w:r>
              <w:rPr>
                <w:rFonts w:ascii="Tahoma" w:hAnsi="Tahoma" w:cs="Tahoma"/>
                <w:b/>
                <w:bCs/>
                <w:color w:val="000080"/>
                <w:sz w:val="18"/>
                <w:szCs w:val="18"/>
              </w:rPr>
              <w:t>Group</w:t>
            </w:r>
          </w:p>
        </w:tc>
        <w:tc>
          <w:tcPr>
            <w:tcW w:w="1071" w:type="dxa"/>
            <w:tcBorders>
              <w:top w:val="single" w:sz="8" w:space="0" w:color="auto"/>
              <w:left w:val="nil"/>
              <w:bottom w:val="single" w:sz="8" w:space="0" w:color="auto"/>
              <w:right w:val="single" w:sz="4" w:space="0" w:color="auto"/>
            </w:tcBorders>
            <w:shd w:val="pct50" w:color="FFFF99" w:fill="auto"/>
            <w:vAlign w:val="bottom"/>
            <w:hideMark/>
          </w:tcPr>
          <w:p w:rsidR="00587374" w:rsidRDefault="00587374">
            <w:pPr>
              <w:jc w:val="right"/>
              <w:rPr>
                <w:rFonts w:ascii="Tahoma" w:hAnsi="Tahoma" w:cs="Tahoma"/>
                <w:b/>
                <w:bCs/>
                <w:color w:val="000080"/>
                <w:sz w:val="18"/>
                <w:szCs w:val="18"/>
              </w:rPr>
            </w:pPr>
            <w:r>
              <w:rPr>
                <w:rFonts w:ascii="Tahoma" w:hAnsi="Tahoma" w:cs="Tahoma"/>
                <w:b/>
                <w:bCs/>
                <w:color w:val="000080"/>
                <w:sz w:val="18"/>
                <w:szCs w:val="18"/>
              </w:rPr>
              <w:t>Observed Change Mean</w:t>
            </w:r>
          </w:p>
        </w:tc>
        <w:tc>
          <w:tcPr>
            <w:tcW w:w="1046" w:type="dxa"/>
            <w:tcBorders>
              <w:top w:val="single" w:sz="8" w:space="0" w:color="auto"/>
              <w:left w:val="nil"/>
              <w:bottom w:val="single" w:sz="8" w:space="0" w:color="auto"/>
              <w:right w:val="single" w:sz="4" w:space="0" w:color="auto"/>
            </w:tcBorders>
            <w:shd w:val="pct50" w:color="FFFF99" w:fill="auto"/>
            <w:vAlign w:val="bottom"/>
            <w:hideMark/>
          </w:tcPr>
          <w:p w:rsidR="00587374" w:rsidRDefault="00587374">
            <w:pPr>
              <w:jc w:val="right"/>
              <w:rPr>
                <w:rFonts w:ascii="Tahoma" w:hAnsi="Tahoma" w:cs="Tahoma"/>
                <w:b/>
                <w:bCs/>
                <w:color w:val="000080"/>
                <w:sz w:val="18"/>
                <w:szCs w:val="18"/>
              </w:rPr>
            </w:pPr>
            <w:r>
              <w:rPr>
                <w:rFonts w:ascii="Tahoma" w:hAnsi="Tahoma" w:cs="Tahoma"/>
                <w:b/>
                <w:bCs/>
                <w:color w:val="000080"/>
                <w:sz w:val="18"/>
                <w:szCs w:val="18"/>
              </w:rPr>
              <w:t>Expected Change Mean</w:t>
            </w:r>
          </w:p>
        </w:tc>
        <w:tc>
          <w:tcPr>
            <w:tcW w:w="900" w:type="dxa"/>
            <w:tcBorders>
              <w:top w:val="single" w:sz="8" w:space="0" w:color="auto"/>
              <w:left w:val="nil"/>
              <w:bottom w:val="single" w:sz="8" w:space="0" w:color="auto"/>
              <w:right w:val="single" w:sz="4" w:space="0" w:color="auto"/>
            </w:tcBorders>
            <w:shd w:val="pct50" w:color="FFFF99" w:fill="auto"/>
            <w:vAlign w:val="bottom"/>
            <w:hideMark/>
          </w:tcPr>
          <w:p w:rsidR="00587374" w:rsidRDefault="00587374">
            <w:pPr>
              <w:jc w:val="right"/>
              <w:rPr>
                <w:rFonts w:ascii="Tahoma" w:hAnsi="Tahoma" w:cs="Tahoma"/>
                <w:b/>
                <w:bCs/>
                <w:color w:val="000080"/>
                <w:sz w:val="18"/>
                <w:szCs w:val="18"/>
              </w:rPr>
            </w:pPr>
            <w:r>
              <w:rPr>
                <w:rFonts w:ascii="Tahoma" w:hAnsi="Tahoma" w:cs="Tahoma"/>
                <w:b/>
                <w:bCs/>
                <w:color w:val="000080"/>
                <w:sz w:val="18"/>
                <w:szCs w:val="18"/>
              </w:rPr>
              <w:t xml:space="preserve">Act to </w:t>
            </w:r>
            <w:proofErr w:type="spellStart"/>
            <w:r>
              <w:rPr>
                <w:rFonts w:ascii="Tahoma" w:hAnsi="Tahoma" w:cs="Tahoma"/>
                <w:b/>
                <w:bCs/>
                <w:color w:val="000080"/>
                <w:sz w:val="18"/>
                <w:szCs w:val="18"/>
              </w:rPr>
              <w:t>Exp</w:t>
            </w:r>
            <w:proofErr w:type="spellEnd"/>
            <w:r>
              <w:rPr>
                <w:rFonts w:ascii="Tahoma" w:hAnsi="Tahoma" w:cs="Tahoma"/>
                <w:b/>
                <w:bCs/>
                <w:color w:val="000080"/>
                <w:sz w:val="18"/>
                <w:szCs w:val="18"/>
              </w:rPr>
              <w:t xml:space="preserve"> Diff Mean</w:t>
            </w:r>
          </w:p>
        </w:tc>
        <w:tc>
          <w:tcPr>
            <w:tcW w:w="762" w:type="dxa"/>
            <w:tcBorders>
              <w:top w:val="single" w:sz="8" w:space="0" w:color="auto"/>
              <w:left w:val="nil"/>
              <w:bottom w:val="single" w:sz="8" w:space="0" w:color="auto"/>
              <w:right w:val="single" w:sz="4" w:space="0" w:color="auto"/>
            </w:tcBorders>
            <w:shd w:val="pct50" w:color="FFFF99" w:fill="auto"/>
            <w:vAlign w:val="bottom"/>
            <w:hideMark/>
          </w:tcPr>
          <w:p w:rsidR="00587374" w:rsidRDefault="00587374">
            <w:pPr>
              <w:jc w:val="right"/>
              <w:rPr>
                <w:rFonts w:ascii="Tahoma" w:hAnsi="Tahoma" w:cs="Tahoma"/>
                <w:b/>
                <w:bCs/>
                <w:color w:val="000080"/>
                <w:sz w:val="18"/>
                <w:szCs w:val="18"/>
              </w:rPr>
            </w:pPr>
            <w:r>
              <w:rPr>
                <w:rFonts w:ascii="Tahoma" w:hAnsi="Tahoma" w:cs="Tahoma"/>
                <w:b/>
                <w:bCs/>
                <w:color w:val="000080"/>
                <w:sz w:val="18"/>
                <w:szCs w:val="18"/>
              </w:rPr>
              <w:t>p value</w:t>
            </w:r>
          </w:p>
        </w:tc>
        <w:tc>
          <w:tcPr>
            <w:tcW w:w="1483" w:type="dxa"/>
            <w:tcBorders>
              <w:top w:val="single" w:sz="8" w:space="0" w:color="auto"/>
              <w:left w:val="nil"/>
              <w:bottom w:val="single" w:sz="8" w:space="0" w:color="auto"/>
              <w:right w:val="single" w:sz="8" w:space="0" w:color="auto"/>
            </w:tcBorders>
            <w:shd w:val="pct50" w:color="FFFF99" w:fill="auto"/>
            <w:vAlign w:val="bottom"/>
            <w:hideMark/>
          </w:tcPr>
          <w:p w:rsidR="00587374" w:rsidRDefault="00587374">
            <w:pPr>
              <w:jc w:val="right"/>
              <w:rPr>
                <w:rFonts w:ascii="Tahoma" w:hAnsi="Tahoma" w:cs="Tahoma"/>
                <w:b/>
                <w:bCs/>
                <w:color w:val="000080"/>
                <w:sz w:val="18"/>
                <w:szCs w:val="18"/>
              </w:rPr>
            </w:pPr>
            <w:r>
              <w:rPr>
                <w:rFonts w:ascii="Tahoma" w:hAnsi="Tahoma" w:cs="Tahoma"/>
                <w:b/>
                <w:bCs/>
                <w:color w:val="000080"/>
                <w:sz w:val="18"/>
                <w:szCs w:val="18"/>
              </w:rPr>
              <w:t>Rating</w:t>
            </w:r>
          </w:p>
        </w:tc>
        <w:tc>
          <w:tcPr>
            <w:tcW w:w="1203" w:type="dxa"/>
            <w:tcBorders>
              <w:top w:val="nil"/>
              <w:left w:val="nil"/>
              <w:bottom w:val="single" w:sz="4" w:space="0" w:color="auto"/>
              <w:right w:val="single" w:sz="4" w:space="0" w:color="auto"/>
            </w:tcBorders>
            <w:shd w:val="pct50" w:color="FFFF99" w:fill="auto"/>
            <w:vAlign w:val="bottom"/>
            <w:hideMark/>
          </w:tcPr>
          <w:p w:rsidR="00587374" w:rsidRDefault="00587374">
            <w:pPr>
              <w:jc w:val="right"/>
              <w:rPr>
                <w:rFonts w:ascii="Tahoma" w:hAnsi="Tahoma" w:cs="Tahoma"/>
                <w:b/>
                <w:bCs/>
                <w:color w:val="000080"/>
                <w:sz w:val="18"/>
                <w:szCs w:val="18"/>
              </w:rPr>
            </w:pPr>
            <w:r>
              <w:rPr>
                <w:rFonts w:ascii="Tahoma" w:hAnsi="Tahoma" w:cs="Tahoma"/>
                <w:b/>
                <w:bCs/>
                <w:color w:val="000080"/>
                <w:sz w:val="18"/>
                <w:szCs w:val="18"/>
              </w:rPr>
              <w:t>Expected Change Mean</w:t>
            </w:r>
          </w:p>
        </w:tc>
        <w:tc>
          <w:tcPr>
            <w:tcW w:w="960" w:type="dxa"/>
            <w:tcBorders>
              <w:top w:val="nil"/>
              <w:left w:val="nil"/>
              <w:bottom w:val="single" w:sz="4" w:space="0" w:color="auto"/>
              <w:right w:val="single" w:sz="4" w:space="0" w:color="auto"/>
            </w:tcBorders>
            <w:shd w:val="pct50" w:color="FFFF99" w:fill="auto"/>
            <w:vAlign w:val="bottom"/>
            <w:hideMark/>
          </w:tcPr>
          <w:p w:rsidR="00587374" w:rsidRDefault="00587374">
            <w:pPr>
              <w:jc w:val="right"/>
              <w:rPr>
                <w:rFonts w:ascii="Tahoma" w:hAnsi="Tahoma" w:cs="Tahoma"/>
                <w:b/>
                <w:bCs/>
                <w:color w:val="000080"/>
                <w:sz w:val="18"/>
                <w:szCs w:val="18"/>
              </w:rPr>
            </w:pPr>
            <w:r>
              <w:rPr>
                <w:rFonts w:ascii="Tahoma" w:hAnsi="Tahoma" w:cs="Tahoma"/>
                <w:b/>
                <w:bCs/>
                <w:color w:val="000080"/>
                <w:sz w:val="18"/>
                <w:szCs w:val="18"/>
              </w:rPr>
              <w:t xml:space="preserve">Act to </w:t>
            </w:r>
            <w:proofErr w:type="spellStart"/>
            <w:r>
              <w:rPr>
                <w:rFonts w:ascii="Tahoma" w:hAnsi="Tahoma" w:cs="Tahoma"/>
                <w:b/>
                <w:bCs/>
                <w:color w:val="000080"/>
                <w:sz w:val="18"/>
                <w:szCs w:val="18"/>
              </w:rPr>
              <w:t>Exp</w:t>
            </w:r>
            <w:proofErr w:type="spellEnd"/>
            <w:r>
              <w:rPr>
                <w:rFonts w:ascii="Tahoma" w:hAnsi="Tahoma" w:cs="Tahoma"/>
                <w:b/>
                <w:bCs/>
                <w:color w:val="000080"/>
                <w:sz w:val="18"/>
                <w:szCs w:val="18"/>
              </w:rPr>
              <w:t xml:space="preserve"> Diff Mean</w:t>
            </w:r>
          </w:p>
        </w:tc>
        <w:tc>
          <w:tcPr>
            <w:tcW w:w="960" w:type="dxa"/>
            <w:tcBorders>
              <w:top w:val="nil"/>
              <w:left w:val="nil"/>
              <w:bottom w:val="single" w:sz="4" w:space="0" w:color="auto"/>
              <w:right w:val="single" w:sz="4" w:space="0" w:color="auto"/>
            </w:tcBorders>
            <w:shd w:val="pct50" w:color="FFFF99" w:fill="auto"/>
            <w:vAlign w:val="bottom"/>
            <w:hideMark/>
          </w:tcPr>
          <w:p w:rsidR="00587374" w:rsidRDefault="00587374">
            <w:pPr>
              <w:jc w:val="right"/>
              <w:rPr>
                <w:rFonts w:ascii="Tahoma" w:hAnsi="Tahoma" w:cs="Tahoma"/>
                <w:b/>
                <w:bCs/>
                <w:color w:val="000080"/>
                <w:sz w:val="18"/>
                <w:szCs w:val="18"/>
              </w:rPr>
            </w:pPr>
            <w:r>
              <w:rPr>
                <w:rFonts w:ascii="Tahoma" w:hAnsi="Tahoma" w:cs="Tahoma"/>
                <w:b/>
                <w:bCs/>
                <w:color w:val="000080"/>
                <w:sz w:val="18"/>
                <w:szCs w:val="18"/>
              </w:rPr>
              <w:t>p value</w:t>
            </w:r>
          </w:p>
        </w:tc>
        <w:tc>
          <w:tcPr>
            <w:tcW w:w="1600" w:type="dxa"/>
            <w:tcBorders>
              <w:top w:val="nil"/>
              <w:left w:val="nil"/>
              <w:bottom w:val="single" w:sz="4" w:space="0" w:color="auto"/>
              <w:right w:val="single" w:sz="4" w:space="0" w:color="auto"/>
            </w:tcBorders>
            <w:shd w:val="pct50" w:color="FFFF99" w:fill="auto"/>
            <w:vAlign w:val="bottom"/>
            <w:hideMark/>
          </w:tcPr>
          <w:p w:rsidR="00587374" w:rsidRDefault="00587374">
            <w:pPr>
              <w:jc w:val="right"/>
              <w:rPr>
                <w:rFonts w:ascii="Tahoma" w:hAnsi="Tahoma" w:cs="Tahoma"/>
                <w:b/>
                <w:bCs/>
                <w:color w:val="000080"/>
                <w:sz w:val="18"/>
                <w:szCs w:val="18"/>
              </w:rPr>
            </w:pPr>
            <w:r>
              <w:rPr>
                <w:rFonts w:ascii="Tahoma" w:hAnsi="Tahoma" w:cs="Tahoma"/>
                <w:b/>
                <w:bCs/>
                <w:color w:val="000080"/>
                <w:sz w:val="18"/>
                <w:szCs w:val="18"/>
              </w:rPr>
              <w:t>Rating</w:t>
            </w:r>
          </w:p>
        </w:tc>
      </w:tr>
      <w:tr w:rsidR="00587374" w:rsidTr="00587374">
        <w:trPr>
          <w:trHeight w:val="225"/>
        </w:trPr>
        <w:tc>
          <w:tcPr>
            <w:tcW w:w="768" w:type="dxa"/>
            <w:tcBorders>
              <w:top w:val="single" w:sz="8" w:space="0" w:color="auto"/>
              <w:left w:val="nil"/>
              <w:bottom w:val="nil"/>
              <w:right w:val="nil"/>
            </w:tcBorders>
            <w:noWrap/>
            <w:vAlign w:val="bottom"/>
          </w:tcPr>
          <w:p w:rsidR="00587374" w:rsidRDefault="00587374">
            <w:pPr>
              <w:spacing w:after="0" w:line="240" w:lineRule="auto"/>
              <w:jc w:val="right"/>
              <w:rPr>
                <w:rFonts w:ascii="Tahoma" w:eastAsia="Times New Roman" w:hAnsi="Tahoma" w:cs="Tahoma"/>
                <w:sz w:val="18"/>
                <w:szCs w:val="18"/>
              </w:rPr>
            </w:pPr>
          </w:p>
        </w:tc>
        <w:tc>
          <w:tcPr>
            <w:tcW w:w="1071" w:type="dxa"/>
            <w:tcBorders>
              <w:top w:val="single" w:sz="8" w:space="0" w:color="auto"/>
              <w:left w:val="nil"/>
              <w:bottom w:val="nil"/>
              <w:right w:val="nil"/>
            </w:tcBorders>
            <w:noWrap/>
            <w:vAlign w:val="bottom"/>
          </w:tcPr>
          <w:p w:rsidR="00587374" w:rsidRDefault="00587374">
            <w:pPr>
              <w:spacing w:after="0" w:line="240" w:lineRule="auto"/>
              <w:jc w:val="right"/>
              <w:rPr>
                <w:rFonts w:ascii="Tahoma" w:eastAsia="Times New Roman" w:hAnsi="Tahoma" w:cs="Tahoma"/>
                <w:sz w:val="18"/>
                <w:szCs w:val="18"/>
              </w:rPr>
            </w:pPr>
          </w:p>
        </w:tc>
        <w:tc>
          <w:tcPr>
            <w:tcW w:w="1046" w:type="dxa"/>
            <w:tcBorders>
              <w:top w:val="single" w:sz="8" w:space="0" w:color="auto"/>
              <w:left w:val="nil"/>
              <w:bottom w:val="nil"/>
              <w:right w:val="nil"/>
            </w:tcBorders>
            <w:noWrap/>
            <w:vAlign w:val="bottom"/>
          </w:tcPr>
          <w:p w:rsidR="00587374" w:rsidRDefault="00587374">
            <w:pPr>
              <w:spacing w:after="0" w:line="240" w:lineRule="auto"/>
              <w:jc w:val="right"/>
              <w:rPr>
                <w:rFonts w:ascii="Tahoma" w:eastAsia="Times New Roman" w:hAnsi="Tahoma" w:cs="Tahoma"/>
                <w:sz w:val="18"/>
                <w:szCs w:val="18"/>
              </w:rPr>
            </w:pPr>
          </w:p>
        </w:tc>
        <w:tc>
          <w:tcPr>
            <w:tcW w:w="900" w:type="dxa"/>
            <w:tcBorders>
              <w:top w:val="single" w:sz="8" w:space="0" w:color="auto"/>
              <w:left w:val="nil"/>
              <w:bottom w:val="nil"/>
              <w:right w:val="nil"/>
            </w:tcBorders>
            <w:noWrap/>
            <w:vAlign w:val="bottom"/>
          </w:tcPr>
          <w:p w:rsidR="00587374" w:rsidRDefault="00587374">
            <w:pPr>
              <w:spacing w:after="0" w:line="240" w:lineRule="auto"/>
              <w:jc w:val="right"/>
              <w:rPr>
                <w:rFonts w:ascii="Tahoma" w:eastAsia="Times New Roman" w:hAnsi="Tahoma" w:cs="Tahoma"/>
                <w:sz w:val="18"/>
                <w:szCs w:val="18"/>
              </w:rPr>
            </w:pPr>
          </w:p>
        </w:tc>
        <w:tc>
          <w:tcPr>
            <w:tcW w:w="762" w:type="dxa"/>
            <w:tcBorders>
              <w:top w:val="single" w:sz="8" w:space="0" w:color="auto"/>
              <w:left w:val="nil"/>
              <w:bottom w:val="nil"/>
              <w:right w:val="nil"/>
            </w:tcBorders>
            <w:noWrap/>
            <w:vAlign w:val="bottom"/>
          </w:tcPr>
          <w:p w:rsidR="00587374" w:rsidRDefault="00587374">
            <w:pPr>
              <w:spacing w:after="0" w:line="240" w:lineRule="auto"/>
              <w:jc w:val="right"/>
              <w:rPr>
                <w:rFonts w:ascii="Tahoma" w:eastAsia="Times New Roman" w:hAnsi="Tahoma" w:cs="Tahoma"/>
                <w:sz w:val="18"/>
                <w:szCs w:val="18"/>
              </w:rPr>
            </w:pPr>
          </w:p>
        </w:tc>
        <w:tc>
          <w:tcPr>
            <w:tcW w:w="1483" w:type="dxa"/>
            <w:tcBorders>
              <w:top w:val="single" w:sz="8" w:space="0" w:color="auto"/>
              <w:left w:val="nil"/>
              <w:bottom w:val="nil"/>
              <w:right w:val="single" w:sz="8" w:space="0" w:color="auto"/>
            </w:tcBorders>
            <w:noWrap/>
            <w:vAlign w:val="bottom"/>
          </w:tcPr>
          <w:p w:rsidR="00587374" w:rsidRDefault="00587374">
            <w:pPr>
              <w:spacing w:after="0" w:line="240" w:lineRule="auto"/>
              <w:rPr>
                <w:rFonts w:ascii="Tahoma" w:eastAsia="Times New Roman" w:hAnsi="Tahoma" w:cs="Tahoma"/>
                <w:sz w:val="18"/>
                <w:szCs w:val="18"/>
              </w:rPr>
            </w:pPr>
          </w:p>
        </w:tc>
        <w:tc>
          <w:tcPr>
            <w:tcW w:w="1203" w:type="dxa"/>
            <w:tcBorders>
              <w:top w:val="single" w:sz="8" w:space="0" w:color="auto"/>
              <w:left w:val="single" w:sz="8" w:space="0" w:color="auto"/>
              <w:bottom w:val="nil"/>
              <w:right w:val="nil"/>
            </w:tcBorders>
            <w:noWrap/>
            <w:vAlign w:val="bottom"/>
          </w:tcPr>
          <w:p w:rsidR="00587374" w:rsidRDefault="00587374">
            <w:pPr>
              <w:spacing w:after="0" w:line="240" w:lineRule="auto"/>
              <w:jc w:val="right"/>
              <w:rPr>
                <w:rFonts w:ascii="Tahoma" w:eastAsia="Times New Roman" w:hAnsi="Tahoma" w:cs="Tahoma"/>
                <w:sz w:val="18"/>
                <w:szCs w:val="18"/>
              </w:rPr>
            </w:pPr>
          </w:p>
        </w:tc>
        <w:tc>
          <w:tcPr>
            <w:tcW w:w="960" w:type="dxa"/>
            <w:tcBorders>
              <w:top w:val="single" w:sz="8" w:space="0" w:color="auto"/>
              <w:left w:val="nil"/>
              <w:bottom w:val="nil"/>
              <w:right w:val="nil"/>
            </w:tcBorders>
            <w:noWrap/>
            <w:vAlign w:val="bottom"/>
          </w:tcPr>
          <w:p w:rsidR="00587374" w:rsidRDefault="00587374">
            <w:pPr>
              <w:spacing w:after="0" w:line="240" w:lineRule="auto"/>
              <w:jc w:val="right"/>
              <w:rPr>
                <w:rFonts w:ascii="Tahoma" w:eastAsia="Times New Roman" w:hAnsi="Tahoma" w:cs="Tahoma"/>
                <w:sz w:val="18"/>
                <w:szCs w:val="18"/>
              </w:rPr>
            </w:pPr>
          </w:p>
        </w:tc>
        <w:tc>
          <w:tcPr>
            <w:tcW w:w="960" w:type="dxa"/>
            <w:tcBorders>
              <w:top w:val="single" w:sz="8" w:space="0" w:color="auto"/>
              <w:left w:val="nil"/>
              <w:bottom w:val="nil"/>
              <w:right w:val="nil"/>
            </w:tcBorders>
            <w:noWrap/>
            <w:vAlign w:val="bottom"/>
          </w:tcPr>
          <w:p w:rsidR="00587374" w:rsidRDefault="00587374">
            <w:pPr>
              <w:spacing w:after="0" w:line="240" w:lineRule="auto"/>
              <w:jc w:val="right"/>
              <w:rPr>
                <w:rFonts w:ascii="Tahoma" w:eastAsia="Times New Roman" w:hAnsi="Tahoma" w:cs="Tahoma"/>
                <w:sz w:val="18"/>
                <w:szCs w:val="18"/>
              </w:rPr>
            </w:pPr>
          </w:p>
        </w:tc>
        <w:tc>
          <w:tcPr>
            <w:tcW w:w="1600" w:type="dxa"/>
            <w:tcBorders>
              <w:top w:val="single" w:sz="8" w:space="0" w:color="auto"/>
              <w:left w:val="nil"/>
              <w:bottom w:val="nil"/>
              <w:right w:val="single" w:sz="8" w:space="0" w:color="auto"/>
            </w:tcBorders>
            <w:noWrap/>
            <w:vAlign w:val="bottom"/>
          </w:tcPr>
          <w:p w:rsidR="00587374" w:rsidRDefault="00587374">
            <w:pPr>
              <w:spacing w:after="0" w:line="240" w:lineRule="auto"/>
              <w:rPr>
                <w:rFonts w:ascii="Tahoma" w:eastAsia="Times New Roman" w:hAnsi="Tahoma" w:cs="Tahoma"/>
                <w:sz w:val="18"/>
                <w:szCs w:val="18"/>
              </w:rPr>
            </w:pPr>
          </w:p>
        </w:tc>
      </w:tr>
      <w:tr w:rsidR="00587374" w:rsidTr="00587374">
        <w:trPr>
          <w:trHeight w:val="225"/>
        </w:trPr>
        <w:tc>
          <w:tcPr>
            <w:tcW w:w="768" w:type="dxa"/>
            <w:tcBorders>
              <w:top w:val="single" w:sz="8" w:space="0" w:color="auto"/>
              <w:left w:val="nil"/>
              <w:bottom w:val="nil"/>
              <w:right w:val="nil"/>
            </w:tcBorders>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w:t>
            </w:r>
          </w:p>
        </w:tc>
        <w:tc>
          <w:tcPr>
            <w:tcW w:w="1071" w:type="dxa"/>
            <w:tcBorders>
              <w:top w:val="single" w:sz="8" w:space="0" w:color="auto"/>
              <w:left w:val="nil"/>
              <w:bottom w:val="nil"/>
              <w:right w:val="nil"/>
            </w:tcBorders>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16.2</w:t>
            </w:r>
          </w:p>
        </w:tc>
        <w:tc>
          <w:tcPr>
            <w:tcW w:w="1046" w:type="dxa"/>
            <w:tcBorders>
              <w:top w:val="single" w:sz="8" w:space="0" w:color="auto"/>
              <w:left w:val="nil"/>
              <w:bottom w:val="nil"/>
              <w:right w:val="nil"/>
            </w:tcBorders>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17.1</w:t>
            </w:r>
          </w:p>
        </w:tc>
        <w:tc>
          <w:tcPr>
            <w:tcW w:w="900" w:type="dxa"/>
            <w:tcBorders>
              <w:top w:val="single" w:sz="8" w:space="0" w:color="auto"/>
              <w:left w:val="nil"/>
              <w:bottom w:val="nil"/>
              <w:right w:val="nil"/>
            </w:tcBorders>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-0.9</w:t>
            </w:r>
          </w:p>
        </w:tc>
        <w:tc>
          <w:tcPr>
            <w:tcW w:w="762" w:type="dxa"/>
            <w:tcBorders>
              <w:top w:val="single" w:sz="8" w:space="0" w:color="auto"/>
              <w:left w:val="nil"/>
              <w:bottom w:val="nil"/>
              <w:right w:val="nil"/>
            </w:tcBorders>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0.3309</w:t>
            </w:r>
          </w:p>
        </w:tc>
        <w:tc>
          <w:tcPr>
            <w:tcW w:w="1483" w:type="dxa"/>
            <w:tcBorders>
              <w:top w:val="single" w:sz="8" w:space="0" w:color="auto"/>
              <w:left w:val="nil"/>
              <w:bottom w:val="nil"/>
              <w:right w:val="single" w:sz="8" w:space="0" w:color="auto"/>
            </w:tcBorders>
            <w:noWrap/>
            <w:vAlign w:val="bottom"/>
            <w:hideMark/>
          </w:tcPr>
          <w:p w:rsidR="00587374" w:rsidRDefault="00587374">
            <w:pPr>
              <w:spacing w:after="0" w:line="240" w:lineRule="auto"/>
              <w:rPr>
                <w:rFonts w:ascii="Tahoma" w:eastAsia="Times New Roman" w:hAnsi="Tahoma" w:cs="Tahoma"/>
                <w:sz w:val="18"/>
                <w:szCs w:val="18"/>
              </w:rPr>
            </w:pPr>
            <w:r>
              <w:rPr>
                <w:rFonts w:ascii="Tahoma" w:eastAsia="Times New Roman" w:hAnsi="Tahoma" w:cs="Tahoma"/>
                <w:sz w:val="18"/>
                <w:szCs w:val="18"/>
              </w:rPr>
              <w:t>Average</w:t>
            </w:r>
          </w:p>
        </w:tc>
        <w:tc>
          <w:tcPr>
            <w:tcW w:w="1203" w:type="dxa"/>
            <w:tcBorders>
              <w:top w:val="single" w:sz="8" w:space="0" w:color="auto"/>
              <w:left w:val="single" w:sz="8" w:space="0" w:color="auto"/>
              <w:bottom w:val="nil"/>
              <w:right w:val="nil"/>
            </w:tcBorders>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16.4</w:t>
            </w:r>
          </w:p>
        </w:tc>
        <w:tc>
          <w:tcPr>
            <w:tcW w:w="960" w:type="dxa"/>
            <w:tcBorders>
              <w:top w:val="single" w:sz="8" w:space="0" w:color="auto"/>
              <w:left w:val="nil"/>
              <w:bottom w:val="nil"/>
              <w:right w:val="nil"/>
            </w:tcBorders>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-0.2</w:t>
            </w:r>
          </w:p>
        </w:tc>
        <w:tc>
          <w:tcPr>
            <w:tcW w:w="960" w:type="dxa"/>
            <w:tcBorders>
              <w:top w:val="single" w:sz="8" w:space="0" w:color="auto"/>
              <w:left w:val="nil"/>
              <w:bottom w:val="nil"/>
              <w:right w:val="nil"/>
            </w:tcBorders>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0.7873</w:t>
            </w:r>
          </w:p>
        </w:tc>
        <w:tc>
          <w:tcPr>
            <w:tcW w:w="1600" w:type="dxa"/>
            <w:tcBorders>
              <w:top w:val="single" w:sz="8" w:space="0" w:color="auto"/>
              <w:left w:val="nil"/>
              <w:bottom w:val="nil"/>
              <w:right w:val="single" w:sz="8" w:space="0" w:color="auto"/>
            </w:tcBorders>
            <w:noWrap/>
            <w:vAlign w:val="bottom"/>
            <w:hideMark/>
          </w:tcPr>
          <w:p w:rsidR="00587374" w:rsidRDefault="00587374">
            <w:pPr>
              <w:spacing w:after="0" w:line="240" w:lineRule="auto"/>
              <w:rPr>
                <w:rFonts w:ascii="Tahoma" w:eastAsia="Times New Roman" w:hAnsi="Tahoma" w:cs="Tahoma"/>
                <w:sz w:val="18"/>
                <w:szCs w:val="18"/>
              </w:rPr>
            </w:pPr>
            <w:r>
              <w:rPr>
                <w:rFonts w:ascii="Tahoma" w:eastAsia="Times New Roman" w:hAnsi="Tahoma" w:cs="Tahoma"/>
                <w:sz w:val="18"/>
                <w:szCs w:val="18"/>
              </w:rPr>
              <w:t>Average</w:t>
            </w:r>
          </w:p>
        </w:tc>
      </w:tr>
      <w:tr w:rsidR="00587374" w:rsidTr="00587374">
        <w:trPr>
          <w:trHeight w:val="225"/>
        </w:trPr>
        <w:tc>
          <w:tcPr>
            <w:tcW w:w="768"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3</w:t>
            </w:r>
          </w:p>
        </w:tc>
        <w:tc>
          <w:tcPr>
            <w:tcW w:w="1071"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18.4</w:t>
            </w:r>
          </w:p>
        </w:tc>
        <w:tc>
          <w:tcPr>
            <w:tcW w:w="1046"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17.1</w:t>
            </w:r>
          </w:p>
        </w:tc>
        <w:tc>
          <w:tcPr>
            <w:tcW w:w="900"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1.3</w:t>
            </w:r>
          </w:p>
        </w:tc>
        <w:tc>
          <w:tcPr>
            <w:tcW w:w="762"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0.3324</w:t>
            </w:r>
          </w:p>
        </w:tc>
        <w:tc>
          <w:tcPr>
            <w:tcW w:w="1483" w:type="dxa"/>
            <w:tcBorders>
              <w:top w:val="nil"/>
              <w:left w:val="nil"/>
              <w:bottom w:val="nil"/>
              <w:right w:val="single" w:sz="8" w:space="0" w:color="auto"/>
            </w:tcBorders>
            <w:noWrap/>
            <w:vAlign w:val="bottom"/>
            <w:hideMark/>
          </w:tcPr>
          <w:p w:rsidR="00587374" w:rsidRDefault="00587374">
            <w:pPr>
              <w:spacing w:after="0" w:line="240" w:lineRule="auto"/>
              <w:rPr>
                <w:rFonts w:ascii="Tahoma" w:eastAsia="Times New Roman" w:hAnsi="Tahoma" w:cs="Tahoma"/>
                <w:sz w:val="18"/>
                <w:szCs w:val="18"/>
              </w:rPr>
            </w:pPr>
            <w:r>
              <w:rPr>
                <w:rFonts w:ascii="Tahoma" w:eastAsia="Times New Roman" w:hAnsi="Tahoma" w:cs="Tahoma"/>
                <w:sz w:val="18"/>
                <w:szCs w:val="18"/>
              </w:rPr>
              <w:t>Average</w:t>
            </w:r>
          </w:p>
        </w:tc>
        <w:tc>
          <w:tcPr>
            <w:tcW w:w="1203" w:type="dxa"/>
            <w:tcBorders>
              <w:top w:val="nil"/>
              <w:left w:val="single" w:sz="8" w:space="0" w:color="auto"/>
              <w:bottom w:val="nil"/>
              <w:right w:val="nil"/>
            </w:tcBorders>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16.4</w:t>
            </w:r>
          </w:p>
        </w:tc>
        <w:tc>
          <w:tcPr>
            <w:tcW w:w="960"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2</w:t>
            </w:r>
          </w:p>
        </w:tc>
        <w:tc>
          <w:tcPr>
            <w:tcW w:w="960"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0.1561</w:t>
            </w:r>
          </w:p>
        </w:tc>
        <w:tc>
          <w:tcPr>
            <w:tcW w:w="1600" w:type="dxa"/>
            <w:tcBorders>
              <w:top w:val="nil"/>
              <w:left w:val="nil"/>
              <w:bottom w:val="nil"/>
              <w:right w:val="single" w:sz="8" w:space="0" w:color="auto"/>
            </w:tcBorders>
            <w:noWrap/>
            <w:vAlign w:val="bottom"/>
            <w:hideMark/>
          </w:tcPr>
          <w:p w:rsidR="00587374" w:rsidRDefault="00587374">
            <w:pPr>
              <w:spacing w:after="0" w:line="240" w:lineRule="auto"/>
              <w:rPr>
                <w:rFonts w:ascii="Tahoma" w:eastAsia="Times New Roman" w:hAnsi="Tahoma" w:cs="Tahoma"/>
                <w:sz w:val="18"/>
                <w:szCs w:val="18"/>
              </w:rPr>
            </w:pPr>
            <w:r>
              <w:rPr>
                <w:rFonts w:ascii="Tahoma" w:eastAsia="Times New Roman" w:hAnsi="Tahoma" w:cs="Tahoma"/>
                <w:sz w:val="18"/>
                <w:szCs w:val="18"/>
              </w:rPr>
              <w:t>Average</w:t>
            </w:r>
          </w:p>
        </w:tc>
      </w:tr>
      <w:tr w:rsidR="00587374" w:rsidTr="00587374">
        <w:trPr>
          <w:trHeight w:val="225"/>
        </w:trPr>
        <w:tc>
          <w:tcPr>
            <w:tcW w:w="768" w:type="dxa"/>
            <w:shd w:val="clear" w:color="auto" w:fill="FFFF00"/>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4</w:t>
            </w:r>
          </w:p>
        </w:tc>
        <w:tc>
          <w:tcPr>
            <w:tcW w:w="1071" w:type="dxa"/>
            <w:shd w:val="clear" w:color="auto" w:fill="FFFF00"/>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14.8</w:t>
            </w:r>
          </w:p>
        </w:tc>
        <w:tc>
          <w:tcPr>
            <w:tcW w:w="1046" w:type="dxa"/>
            <w:shd w:val="clear" w:color="auto" w:fill="FFFF00"/>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17.1</w:t>
            </w:r>
          </w:p>
        </w:tc>
        <w:tc>
          <w:tcPr>
            <w:tcW w:w="900" w:type="dxa"/>
            <w:shd w:val="clear" w:color="auto" w:fill="FFFF00"/>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-2.3</w:t>
            </w:r>
          </w:p>
        </w:tc>
        <w:tc>
          <w:tcPr>
            <w:tcW w:w="762" w:type="dxa"/>
            <w:shd w:val="clear" w:color="auto" w:fill="FFFF00"/>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0.1042</w:t>
            </w:r>
          </w:p>
        </w:tc>
        <w:tc>
          <w:tcPr>
            <w:tcW w:w="1483" w:type="dxa"/>
            <w:tcBorders>
              <w:top w:val="nil"/>
              <w:left w:val="nil"/>
              <w:bottom w:val="nil"/>
              <w:right w:val="single" w:sz="8" w:space="0" w:color="auto"/>
            </w:tcBorders>
            <w:shd w:val="clear" w:color="auto" w:fill="FFFF00"/>
            <w:noWrap/>
            <w:vAlign w:val="bottom"/>
            <w:hideMark/>
          </w:tcPr>
          <w:p w:rsidR="00587374" w:rsidRDefault="00587374">
            <w:pPr>
              <w:spacing w:after="0" w:line="240" w:lineRule="auto"/>
              <w:rPr>
                <w:rFonts w:ascii="Tahoma" w:eastAsia="Times New Roman" w:hAnsi="Tahoma" w:cs="Tahoma"/>
                <w:sz w:val="18"/>
                <w:szCs w:val="18"/>
              </w:rPr>
            </w:pPr>
            <w:r>
              <w:rPr>
                <w:rFonts w:ascii="Tahoma" w:eastAsia="Times New Roman" w:hAnsi="Tahoma" w:cs="Tahoma"/>
                <w:sz w:val="18"/>
                <w:szCs w:val="18"/>
              </w:rPr>
              <w:t>Average</w:t>
            </w:r>
          </w:p>
        </w:tc>
        <w:tc>
          <w:tcPr>
            <w:tcW w:w="1203" w:type="dxa"/>
            <w:tcBorders>
              <w:top w:val="nil"/>
              <w:left w:val="single" w:sz="8" w:space="0" w:color="auto"/>
              <w:bottom w:val="nil"/>
              <w:right w:val="nil"/>
            </w:tcBorders>
            <w:shd w:val="clear" w:color="auto" w:fill="FFFF00"/>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18.2</w:t>
            </w:r>
          </w:p>
        </w:tc>
        <w:tc>
          <w:tcPr>
            <w:tcW w:w="960" w:type="dxa"/>
            <w:shd w:val="clear" w:color="auto" w:fill="FFFF00"/>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-3.4</w:t>
            </w:r>
          </w:p>
        </w:tc>
        <w:tc>
          <w:tcPr>
            <w:tcW w:w="960" w:type="dxa"/>
            <w:shd w:val="clear" w:color="auto" w:fill="FFFF00"/>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0.019</w:t>
            </w:r>
          </w:p>
        </w:tc>
        <w:tc>
          <w:tcPr>
            <w:tcW w:w="1600" w:type="dxa"/>
            <w:tcBorders>
              <w:top w:val="nil"/>
              <w:left w:val="nil"/>
              <w:bottom w:val="nil"/>
              <w:right w:val="single" w:sz="8" w:space="0" w:color="auto"/>
            </w:tcBorders>
            <w:shd w:val="clear" w:color="auto" w:fill="FFFF00"/>
            <w:noWrap/>
            <w:vAlign w:val="bottom"/>
            <w:hideMark/>
          </w:tcPr>
          <w:p w:rsidR="00587374" w:rsidRDefault="00587374">
            <w:pPr>
              <w:spacing w:after="0" w:line="240" w:lineRule="auto"/>
              <w:rPr>
                <w:rFonts w:ascii="Tahoma" w:eastAsia="Times New Roman" w:hAnsi="Tahoma" w:cs="Tahoma"/>
                <w:sz w:val="18"/>
                <w:szCs w:val="18"/>
              </w:rPr>
            </w:pPr>
            <w:r>
              <w:rPr>
                <w:rFonts w:ascii="Tahoma" w:eastAsia="Times New Roman" w:hAnsi="Tahoma" w:cs="Tahoma"/>
                <w:sz w:val="18"/>
                <w:szCs w:val="18"/>
              </w:rPr>
              <w:t>Below Average</w:t>
            </w:r>
          </w:p>
        </w:tc>
      </w:tr>
      <w:tr w:rsidR="00587374" w:rsidTr="00587374">
        <w:trPr>
          <w:trHeight w:val="225"/>
        </w:trPr>
        <w:tc>
          <w:tcPr>
            <w:tcW w:w="768"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7</w:t>
            </w:r>
          </w:p>
        </w:tc>
        <w:tc>
          <w:tcPr>
            <w:tcW w:w="1071"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18.1</w:t>
            </w:r>
          </w:p>
        </w:tc>
        <w:tc>
          <w:tcPr>
            <w:tcW w:w="1046"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17.1</w:t>
            </w:r>
          </w:p>
        </w:tc>
        <w:tc>
          <w:tcPr>
            <w:tcW w:w="900"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1.0</w:t>
            </w:r>
          </w:p>
        </w:tc>
        <w:tc>
          <w:tcPr>
            <w:tcW w:w="762"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0.1417</w:t>
            </w:r>
          </w:p>
        </w:tc>
        <w:tc>
          <w:tcPr>
            <w:tcW w:w="1483" w:type="dxa"/>
            <w:tcBorders>
              <w:top w:val="nil"/>
              <w:left w:val="nil"/>
              <w:bottom w:val="nil"/>
              <w:right w:val="single" w:sz="8" w:space="0" w:color="auto"/>
            </w:tcBorders>
            <w:noWrap/>
            <w:vAlign w:val="bottom"/>
            <w:hideMark/>
          </w:tcPr>
          <w:p w:rsidR="00587374" w:rsidRDefault="00587374">
            <w:pPr>
              <w:spacing w:after="0" w:line="240" w:lineRule="auto"/>
              <w:rPr>
                <w:rFonts w:ascii="Tahoma" w:eastAsia="Times New Roman" w:hAnsi="Tahoma" w:cs="Tahoma"/>
                <w:sz w:val="18"/>
                <w:szCs w:val="18"/>
              </w:rPr>
            </w:pPr>
            <w:r>
              <w:rPr>
                <w:rFonts w:ascii="Tahoma" w:eastAsia="Times New Roman" w:hAnsi="Tahoma" w:cs="Tahoma"/>
                <w:sz w:val="18"/>
                <w:szCs w:val="18"/>
              </w:rPr>
              <w:t>Average</w:t>
            </w:r>
          </w:p>
        </w:tc>
        <w:tc>
          <w:tcPr>
            <w:tcW w:w="1203" w:type="dxa"/>
            <w:tcBorders>
              <w:top w:val="nil"/>
              <w:left w:val="single" w:sz="8" w:space="0" w:color="auto"/>
              <w:bottom w:val="nil"/>
              <w:right w:val="nil"/>
            </w:tcBorders>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17.5</w:t>
            </w:r>
          </w:p>
        </w:tc>
        <w:tc>
          <w:tcPr>
            <w:tcW w:w="960"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0.6</w:t>
            </w:r>
          </w:p>
        </w:tc>
        <w:tc>
          <w:tcPr>
            <w:tcW w:w="960"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0.422</w:t>
            </w:r>
          </w:p>
        </w:tc>
        <w:tc>
          <w:tcPr>
            <w:tcW w:w="1600" w:type="dxa"/>
            <w:tcBorders>
              <w:top w:val="nil"/>
              <w:left w:val="nil"/>
              <w:bottom w:val="nil"/>
              <w:right w:val="single" w:sz="8" w:space="0" w:color="auto"/>
            </w:tcBorders>
            <w:noWrap/>
            <w:vAlign w:val="bottom"/>
            <w:hideMark/>
          </w:tcPr>
          <w:p w:rsidR="00587374" w:rsidRDefault="00587374">
            <w:pPr>
              <w:spacing w:after="0" w:line="240" w:lineRule="auto"/>
              <w:rPr>
                <w:rFonts w:ascii="Tahoma" w:eastAsia="Times New Roman" w:hAnsi="Tahoma" w:cs="Tahoma"/>
                <w:sz w:val="18"/>
                <w:szCs w:val="18"/>
              </w:rPr>
            </w:pPr>
            <w:r>
              <w:rPr>
                <w:rFonts w:ascii="Tahoma" w:eastAsia="Times New Roman" w:hAnsi="Tahoma" w:cs="Tahoma"/>
                <w:sz w:val="18"/>
                <w:szCs w:val="18"/>
              </w:rPr>
              <w:t>Average</w:t>
            </w:r>
          </w:p>
        </w:tc>
      </w:tr>
      <w:tr w:rsidR="00587374" w:rsidTr="00587374">
        <w:trPr>
          <w:trHeight w:val="225"/>
        </w:trPr>
        <w:tc>
          <w:tcPr>
            <w:tcW w:w="768"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15</w:t>
            </w:r>
          </w:p>
        </w:tc>
        <w:tc>
          <w:tcPr>
            <w:tcW w:w="1071"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16.3</w:t>
            </w:r>
          </w:p>
        </w:tc>
        <w:tc>
          <w:tcPr>
            <w:tcW w:w="1046"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17.1</w:t>
            </w:r>
          </w:p>
        </w:tc>
        <w:tc>
          <w:tcPr>
            <w:tcW w:w="900"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-0.8</w:t>
            </w:r>
          </w:p>
        </w:tc>
        <w:tc>
          <w:tcPr>
            <w:tcW w:w="762"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0.23</w:t>
            </w:r>
          </w:p>
        </w:tc>
        <w:tc>
          <w:tcPr>
            <w:tcW w:w="1483" w:type="dxa"/>
            <w:tcBorders>
              <w:top w:val="nil"/>
              <w:left w:val="nil"/>
              <w:bottom w:val="nil"/>
              <w:right w:val="single" w:sz="8" w:space="0" w:color="auto"/>
            </w:tcBorders>
            <w:noWrap/>
            <w:vAlign w:val="bottom"/>
            <w:hideMark/>
          </w:tcPr>
          <w:p w:rsidR="00587374" w:rsidRDefault="00587374">
            <w:pPr>
              <w:spacing w:after="0" w:line="240" w:lineRule="auto"/>
              <w:rPr>
                <w:rFonts w:ascii="Tahoma" w:eastAsia="Times New Roman" w:hAnsi="Tahoma" w:cs="Tahoma"/>
                <w:sz w:val="18"/>
                <w:szCs w:val="18"/>
              </w:rPr>
            </w:pPr>
            <w:r>
              <w:rPr>
                <w:rFonts w:ascii="Tahoma" w:eastAsia="Times New Roman" w:hAnsi="Tahoma" w:cs="Tahoma"/>
                <w:sz w:val="18"/>
                <w:szCs w:val="18"/>
              </w:rPr>
              <w:t>Average</w:t>
            </w:r>
          </w:p>
        </w:tc>
        <w:tc>
          <w:tcPr>
            <w:tcW w:w="1203" w:type="dxa"/>
            <w:tcBorders>
              <w:top w:val="nil"/>
              <w:left w:val="single" w:sz="8" w:space="0" w:color="auto"/>
              <w:bottom w:val="nil"/>
              <w:right w:val="nil"/>
            </w:tcBorders>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16.6</w:t>
            </w:r>
          </w:p>
        </w:tc>
        <w:tc>
          <w:tcPr>
            <w:tcW w:w="960"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-0.3</w:t>
            </w:r>
          </w:p>
        </w:tc>
        <w:tc>
          <w:tcPr>
            <w:tcW w:w="960"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0.6361</w:t>
            </w:r>
          </w:p>
        </w:tc>
        <w:tc>
          <w:tcPr>
            <w:tcW w:w="1600" w:type="dxa"/>
            <w:tcBorders>
              <w:top w:val="nil"/>
              <w:left w:val="nil"/>
              <w:bottom w:val="nil"/>
              <w:right w:val="single" w:sz="8" w:space="0" w:color="auto"/>
            </w:tcBorders>
            <w:noWrap/>
            <w:vAlign w:val="bottom"/>
            <w:hideMark/>
          </w:tcPr>
          <w:p w:rsidR="00587374" w:rsidRDefault="00587374">
            <w:pPr>
              <w:spacing w:after="0" w:line="240" w:lineRule="auto"/>
              <w:rPr>
                <w:rFonts w:ascii="Tahoma" w:eastAsia="Times New Roman" w:hAnsi="Tahoma" w:cs="Tahoma"/>
                <w:sz w:val="18"/>
                <w:szCs w:val="18"/>
              </w:rPr>
            </w:pPr>
            <w:r>
              <w:rPr>
                <w:rFonts w:ascii="Tahoma" w:eastAsia="Times New Roman" w:hAnsi="Tahoma" w:cs="Tahoma"/>
                <w:sz w:val="18"/>
                <w:szCs w:val="18"/>
              </w:rPr>
              <w:t>Average</w:t>
            </w:r>
          </w:p>
        </w:tc>
      </w:tr>
      <w:tr w:rsidR="00587374" w:rsidTr="00587374">
        <w:trPr>
          <w:trHeight w:val="225"/>
        </w:trPr>
        <w:tc>
          <w:tcPr>
            <w:tcW w:w="768"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56</w:t>
            </w:r>
          </w:p>
        </w:tc>
        <w:tc>
          <w:tcPr>
            <w:tcW w:w="1071"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15.9</w:t>
            </w:r>
          </w:p>
        </w:tc>
        <w:tc>
          <w:tcPr>
            <w:tcW w:w="1046"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17.1</w:t>
            </w:r>
          </w:p>
        </w:tc>
        <w:tc>
          <w:tcPr>
            <w:tcW w:w="900"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-1.2</w:t>
            </w:r>
          </w:p>
        </w:tc>
        <w:tc>
          <w:tcPr>
            <w:tcW w:w="762"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0.0553</w:t>
            </w:r>
          </w:p>
        </w:tc>
        <w:tc>
          <w:tcPr>
            <w:tcW w:w="1483" w:type="dxa"/>
            <w:tcBorders>
              <w:top w:val="nil"/>
              <w:left w:val="nil"/>
              <w:bottom w:val="nil"/>
              <w:right w:val="single" w:sz="8" w:space="0" w:color="auto"/>
            </w:tcBorders>
            <w:noWrap/>
            <w:vAlign w:val="bottom"/>
            <w:hideMark/>
          </w:tcPr>
          <w:p w:rsidR="00587374" w:rsidRDefault="00587374">
            <w:pPr>
              <w:spacing w:after="0" w:line="240" w:lineRule="auto"/>
              <w:rPr>
                <w:rFonts w:ascii="Tahoma" w:eastAsia="Times New Roman" w:hAnsi="Tahoma" w:cs="Tahoma"/>
                <w:sz w:val="18"/>
                <w:szCs w:val="18"/>
              </w:rPr>
            </w:pPr>
            <w:r>
              <w:rPr>
                <w:rFonts w:ascii="Tahoma" w:eastAsia="Times New Roman" w:hAnsi="Tahoma" w:cs="Tahoma"/>
                <w:sz w:val="18"/>
                <w:szCs w:val="18"/>
              </w:rPr>
              <w:t>Average</w:t>
            </w:r>
          </w:p>
        </w:tc>
        <w:tc>
          <w:tcPr>
            <w:tcW w:w="1203" w:type="dxa"/>
            <w:tcBorders>
              <w:top w:val="nil"/>
              <w:left w:val="single" w:sz="8" w:space="0" w:color="auto"/>
              <w:bottom w:val="nil"/>
              <w:right w:val="nil"/>
            </w:tcBorders>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16.9</w:t>
            </w:r>
          </w:p>
        </w:tc>
        <w:tc>
          <w:tcPr>
            <w:tcW w:w="960"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w:t>
            </w:r>
          </w:p>
        </w:tc>
        <w:tc>
          <w:tcPr>
            <w:tcW w:w="960"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0.094</w:t>
            </w:r>
          </w:p>
        </w:tc>
        <w:tc>
          <w:tcPr>
            <w:tcW w:w="1600" w:type="dxa"/>
            <w:tcBorders>
              <w:top w:val="nil"/>
              <w:left w:val="nil"/>
              <w:bottom w:val="nil"/>
              <w:right w:val="single" w:sz="8" w:space="0" w:color="auto"/>
            </w:tcBorders>
            <w:noWrap/>
            <w:vAlign w:val="bottom"/>
            <w:hideMark/>
          </w:tcPr>
          <w:p w:rsidR="00587374" w:rsidRDefault="00587374">
            <w:pPr>
              <w:spacing w:after="0" w:line="240" w:lineRule="auto"/>
              <w:rPr>
                <w:rFonts w:ascii="Tahoma" w:eastAsia="Times New Roman" w:hAnsi="Tahoma" w:cs="Tahoma"/>
                <w:sz w:val="18"/>
                <w:szCs w:val="18"/>
              </w:rPr>
            </w:pPr>
            <w:r>
              <w:rPr>
                <w:rFonts w:ascii="Tahoma" w:eastAsia="Times New Roman" w:hAnsi="Tahoma" w:cs="Tahoma"/>
                <w:sz w:val="18"/>
                <w:szCs w:val="18"/>
              </w:rPr>
              <w:t>Average</w:t>
            </w:r>
          </w:p>
        </w:tc>
      </w:tr>
      <w:tr w:rsidR="00587374" w:rsidTr="00587374">
        <w:trPr>
          <w:trHeight w:val="225"/>
        </w:trPr>
        <w:tc>
          <w:tcPr>
            <w:tcW w:w="768" w:type="dxa"/>
            <w:shd w:val="clear" w:color="auto" w:fill="FFFF00"/>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57</w:t>
            </w:r>
          </w:p>
        </w:tc>
        <w:tc>
          <w:tcPr>
            <w:tcW w:w="1071" w:type="dxa"/>
            <w:shd w:val="clear" w:color="auto" w:fill="FFFF00"/>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17.2</w:t>
            </w:r>
          </w:p>
        </w:tc>
        <w:tc>
          <w:tcPr>
            <w:tcW w:w="1046" w:type="dxa"/>
            <w:shd w:val="clear" w:color="auto" w:fill="FFFF00"/>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17.1</w:t>
            </w:r>
          </w:p>
        </w:tc>
        <w:tc>
          <w:tcPr>
            <w:tcW w:w="900" w:type="dxa"/>
            <w:shd w:val="clear" w:color="auto" w:fill="FFFF00"/>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0.1</w:t>
            </w:r>
          </w:p>
        </w:tc>
        <w:tc>
          <w:tcPr>
            <w:tcW w:w="762" w:type="dxa"/>
            <w:shd w:val="clear" w:color="auto" w:fill="FFFF00"/>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0.6855</w:t>
            </w:r>
          </w:p>
        </w:tc>
        <w:tc>
          <w:tcPr>
            <w:tcW w:w="1483" w:type="dxa"/>
            <w:tcBorders>
              <w:top w:val="nil"/>
              <w:left w:val="nil"/>
              <w:bottom w:val="nil"/>
              <w:right w:val="single" w:sz="8" w:space="0" w:color="auto"/>
            </w:tcBorders>
            <w:shd w:val="clear" w:color="auto" w:fill="FFFF00"/>
            <w:noWrap/>
            <w:vAlign w:val="bottom"/>
            <w:hideMark/>
          </w:tcPr>
          <w:p w:rsidR="00587374" w:rsidRDefault="00587374">
            <w:pPr>
              <w:spacing w:after="0" w:line="240" w:lineRule="auto"/>
              <w:rPr>
                <w:rFonts w:ascii="Tahoma" w:eastAsia="Times New Roman" w:hAnsi="Tahoma" w:cs="Tahoma"/>
                <w:sz w:val="18"/>
                <w:szCs w:val="18"/>
              </w:rPr>
            </w:pPr>
            <w:r>
              <w:rPr>
                <w:rFonts w:ascii="Tahoma" w:eastAsia="Times New Roman" w:hAnsi="Tahoma" w:cs="Tahoma"/>
                <w:sz w:val="18"/>
                <w:szCs w:val="18"/>
              </w:rPr>
              <w:t>Average</w:t>
            </w:r>
          </w:p>
        </w:tc>
        <w:tc>
          <w:tcPr>
            <w:tcW w:w="1203" w:type="dxa"/>
            <w:tcBorders>
              <w:top w:val="nil"/>
              <w:left w:val="single" w:sz="8" w:space="0" w:color="auto"/>
              <w:bottom w:val="nil"/>
              <w:right w:val="nil"/>
            </w:tcBorders>
            <w:shd w:val="clear" w:color="auto" w:fill="FFFF00"/>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16.2</w:t>
            </w:r>
          </w:p>
        </w:tc>
        <w:tc>
          <w:tcPr>
            <w:tcW w:w="960" w:type="dxa"/>
            <w:shd w:val="clear" w:color="auto" w:fill="FFFF00"/>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w:t>
            </w:r>
          </w:p>
        </w:tc>
        <w:tc>
          <w:tcPr>
            <w:tcW w:w="960" w:type="dxa"/>
            <w:shd w:val="clear" w:color="auto" w:fill="FFFF00"/>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0.0147</w:t>
            </w:r>
          </w:p>
        </w:tc>
        <w:tc>
          <w:tcPr>
            <w:tcW w:w="1600" w:type="dxa"/>
            <w:tcBorders>
              <w:top w:val="nil"/>
              <w:left w:val="nil"/>
              <w:bottom w:val="nil"/>
              <w:right w:val="single" w:sz="8" w:space="0" w:color="auto"/>
            </w:tcBorders>
            <w:shd w:val="clear" w:color="auto" w:fill="FFFF00"/>
            <w:noWrap/>
            <w:vAlign w:val="bottom"/>
            <w:hideMark/>
          </w:tcPr>
          <w:p w:rsidR="00587374" w:rsidRDefault="00587374">
            <w:pPr>
              <w:spacing w:after="0" w:line="240" w:lineRule="auto"/>
              <w:rPr>
                <w:rFonts w:ascii="Tahoma" w:eastAsia="Times New Roman" w:hAnsi="Tahoma" w:cs="Tahoma"/>
                <w:sz w:val="18"/>
                <w:szCs w:val="18"/>
              </w:rPr>
            </w:pPr>
            <w:r>
              <w:rPr>
                <w:rFonts w:ascii="Tahoma" w:eastAsia="Times New Roman" w:hAnsi="Tahoma" w:cs="Tahoma"/>
                <w:sz w:val="18"/>
                <w:szCs w:val="18"/>
              </w:rPr>
              <w:t>Above Average</w:t>
            </w:r>
          </w:p>
        </w:tc>
      </w:tr>
      <w:tr w:rsidR="00587374" w:rsidTr="00587374">
        <w:trPr>
          <w:trHeight w:val="225"/>
        </w:trPr>
        <w:tc>
          <w:tcPr>
            <w:tcW w:w="768"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104</w:t>
            </w:r>
          </w:p>
        </w:tc>
        <w:tc>
          <w:tcPr>
            <w:tcW w:w="1071"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12.5</w:t>
            </w:r>
          </w:p>
        </w:tc>
        <w:tc>
          <w:tcPr>
            <w:tcW w:w="1046"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17.1</w:t>
            </w:r>
          </w:p>
        </w:tc>
        <w:tc>
          <w:tcPr>
            <w:tcW w:w="900"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-4.6</w:t>
            </w:r>
          </w:p>
        </w:tc>
        <w:tc>
          <w:tcPr>
            <w:tcW w:w="762"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0.0072</w:t>
            </w:r>
          </w:p>
        </w:tc>
        <w:tc>
          <w:tcPr>
            <w:tcW w:w="1483" w:type="dxa"/>
            <w:tcBorders>
              <w:top w:val="nil"/>
              <w:left w:val="nil"/>
              <w:bottom w:val="nil"/>
              <w:right w:val="single" w:sz="8" w:space="0" w:color="auto"/>
            </w:tcBorders>
            <w:noWrap/>
            <w:vAlign w:val="bottom"/>
            <w:hideMark/>
          </w:tcPr>
          <w:p w:rsidR="00587374" w:rsidRDefault="00587374">
            <w:pPr>
              <w:spacing w:after="0" w:line="240" w:lineRule="auto"/>
              <w:rPr>
                <w:rFonts w:ascii="Tahoma" w:eastAsia="Times New Roman" w:hAnsi="Tahoma" w:cs="Tahoma"/>
                <w:sz w:val="18"/>
                <w:szCs w:val="18"/>
              </w:rPr>
            </w:pPr>
            <w:r>
              <w:rPr>
                <w:rFonts w:ascii="Tahoma" w:eastAsia="Times New Roman" w:hAnsi="Tahoma" w:cs="Tahoma"/>
                <w:sz w:val="18"/>
                <w:szCs w:val="18"/>
              </w:rPr>
              <w:t>Below Average</w:t>
            </w:r>
          </w:p>
        </w:tc>
        <w:tc>
          <w:tcPr>
            <w:tcW w:w="1203" w:type="dxa"/>
            <w:tcBorders>
              <w:top w:val="nil"/>
              <w:left w:val="single" w:sz="8" w:space="0" w:color="auto"/>
              <w:bottom w:val="nil"/>
              <w:right w:val="nil"/>
            </w:tcBorders>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16.2</w:t>
            </w:r>
          </w:p>
        </w:tc>
        <w:tc>
          <w:tcPr>
            <w:tcW w:w="960"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-3.7</w:t>
            </w:r>
          </w:p>
        </w:tc>
        <w:tc>
          <w:tcPr>
            <w:tcW w:w="960"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0.0027</w:t>
            </w:r>
          </w:p>
        </w:tc>
        <w:tc>
          <w:tcPr>
            <w:tcW w:w="1600" w:type="dxa"/>
            <w:tcBorders>
              <w:top w:val="nil"/>
              <w:left w:val="nil"/>
              <w:bottom w:val="nil"/>
              <w:right w:val="single" w:sz="8" w:space="0" w:color="auto"/>
            </w:tcBorders>
            <w:noWrap/>
            <w:vAlign w:val="bottom"/>
            <w:hideMark/>
          </w:tcPr>
          <w:p w:rsidR="00587374" w:rsidRDefault="00587374">
            <w:pPr>
              <w:spacing w:after="0" w:line="240" w:lineRule="auto"/>
              <w:rPr>
                <w:rFonts w:ascii="Tahoma" w:eastAsia="Times New Roman" w:hAnsi="Tahoma" w:cs="Tahoma"/>
                <w:sz w:val="18"/>
                <w:szCs w:val="18"/>
              </w:rPr>
            </w:pPr>
            <w:r>
              <w:rPr>
                <w:rFonts w:ascii="Tahoma" w:eastAsia="Times New Roman" w:hAnsi="Tahoma" w:cs="Tahoma"/>
                <w:sz w:val="18"/>
                <w:szCs w:val="18"/>
              </w:rPr>
              <w:t>Below Average</w:t>
            </w:r>
          </w:p>
        </w:tc>
      </w:tr>
      <w:tr w:rsidR="00587374" w:rsidTr="00587374">
        <w:trPr>
          <w:trHeight w:val="225"/>
        </w:trPr>
        <w:tc>
          <w:tcPr>
            <w:tcW w:w="768" w:type="dxa"/>
            <w:shd w:val="clear" w:color="auto" w:fill="FFFF00"/>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105</w:t>
            </w:r>
          </w:p>
        </w:tc>
        <w:tc>
          <w:tcPr>
            <w:tcW w:w="1071" w:type="dxa"/>
            <w:shd w:val="clear" w:color="auto" w:fill="FFFF00"/>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16.9</w:t>
            </w:r>
          </w:p>
        </w:tc>
        <w:tc>
          <w:tcPr>
            <w:tcW w:w="1046" w:type="dxa"/>
            <w:shd w:val="clear" w:color="auto" w:fill="FFFF00"/>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17.1</w:t>
            </w:r>
          </w:p>
        </w:tc>
        <w:tc>
          <w:tcPr>
            <w:tcW w:w="900" w:type="dxa"/>
            <w:shd w:val="clear" w:color="auto" w:fill="FFFF00"/>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-0.2</w:t>
            </w:r>
          </w:p>
        </w:tc>
        <w:tc>
          <w:tcPr>
            <w:tcW w:w="762" w:type="dxa"/>
            <w:shd w:val="clear" w:color="auto" w:fill="FFFF00"/>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0.8413</w:t>
            </w:r>
          </w:p>
        </w:tc>
        <w:tc>
          <w:tcPr>
            <w:tcW w:w="1483" w:type="dxa"/>
            <w:tcBorders>
              <w:top w:val="nil"/>
              <w:left w:val="nil"/>
              <w:bottom w:val="nil"/>
              <w:right w:val="single" w:sz="8" w:space="0" w:color="auto"/>
            </w:tcBorders>
            <w:shd w:val="clear" w:color="auto" w:fill="FFFF00"/>
            <w:noWrap/>
            <w:vAlign w:val="bottom"/>
            <w:hideMark/>
          </w:tcPr>
          <w:p w:rsidR="00587374" w:rsidRDefault="00587374">
            <w:pPr>
              <w:spacing w:after="0" w:line="240" w:lineRule="auto"/>
              <w:rPr>
                <w:rFonts w:ascii="Tahoma" w:eastAsia="Times New Roman" w:hAnsi="Tahoma" w:cs="Tahoma"/>
                <w:sz w:val="18"/>
                <w:szCs w:val="18"/>
              </w:rPr>
            </w:pPr>
            <w:r>
              <w:rPr>
                <w:rFonts w:ascii="Tahoma" w:eastAsia="Times New Roman" w:hAnsi="Tahoma" w:cs="Tahoma"/>
                <w:sz w:val="18"/>
                <w:szCs w:val="18"/>
              </w:rPr>
              <w:t>Average</w:t>
            </w:r>
          </w:p>
        </w:tc>
        <w:tc>
          <w:tcPr>
            <w:tcW w:w="1203" w:type="dxa"/>
            <w:tcBorders>
              <w:top w:val="nil"/>
              <w:left w:val="single" w:sz="8" w:space="0" w:color="auto"/>
              <w:bottom w:val="nil"/>
              <w:right w:val="nil"/>
            </w:tcBorders>
            <w:shd w:val="clear" w:color="auto" w:fill="FFFF00"/>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18.5</w:t>
            </w:r>
          </w:p>
        </w:tc>
        <w:tc>
          <w:tcPr>
            <w:tcW w:w="960" w:type="dxa"/>
            <w:shd w:val="clear" w:color="auto" w:fill="FFFF00"/>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-1.6</w:t>
            </w:r>
          </w:p>
        </w:tc>
        <w:tc>
          <w:tcPr>
            <w:tcW w:w="960" w:type="dxa"/>
            <w:shd w:val="clear" w:color="auto" w:fill="FFFF00"/>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0.0148</w:t>
            </w:r>
          </w:p>
        </w:tc>
        <w:tc>
          <w:tcPr>
            <w:tcW w:w="1600" w:type="dxa"/>
            <w:tcBorders>
              <w:top w:val="nil"/>
              <w:left w:val="nil"/>
              <w:bottom w:val="nil"/>
              <w:right w:val="single" w:sz="8" w:space="0" w:color="auto"/>
            </w:tcBorders>
            <w:shd w:val="clear" w:color="auto" w:fill="FFFF00"/>
            <w:noWrap/>
            <w:vAlign w:val="bottom"/>
            <w:hideMark/>
          </w:tcPr>
          <w:p w:rsidR="00587374" w:rsidRDefault="00587374">
            <w:pPr>
              <w:spacing w:after="0" w:line="240" w:lineRule="auto"/>
              <w:rPr>
                <w:rFonts w:ascii="Tahoma" w:eastAsia="Times New Roman" w:hAnsi="Tahoma" w:cs="Tahoma"/>
                <w:sz w:val="18"/>
                <w:szCs w:val="18"/>
              </w:rPr>
            </w:pPr>
            <w:r>
              <w:rPr>
                <w:rFonts w:ascii="Tahoma" w:eastAsia="Times New Roman" w:hAnsi="Tahoma" w:cs="Tahoma"/>
                <w:sz w:val="18"/>
                <w:szCs w:val="18"/>
              </w:rPr>
              <w:t>Below Average</w:t>
            </w:r>
          </w:p>
        </w:tc>
      </w:tr>
      <w:tr w:rsidR="00587374" w:rsidTr="00587374">
        <w:trPr>
          <w:trHeight w:val="225"/>
        </w:trPr>
        <w:tc>
          <w:tcPr>
            <w:tcW w:w="768"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195</w:t>
            </w:r>
          </w:p>
        </w:tc>
        <w:tc>
          <w:tcPr>
            <w:tcW w:w="1071"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18.3</w:t>
            </w:r>
          </w:p>
        </w:tc>
        <w:tc>
          <w:tcPr>
            <w:tcW w:w="1046"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17.1</w:t>
            </w:r>
          </w:p>
        </w:tc>
        <w:tc>
          <w:tcPr>
            <w:tcW w:w="900"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1.2</w:t>
            </w:r>
          </w:p>
        </w:tc>
        <w:tc>
          <w:tcPr>
            <w:tcW w:w="762"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0.4087</w:t>
            </w:r>
          </w:p>
        </w:tc>
        <w:tc>
          <w:tcPr>
            <w:tcW w:w="1483" w:type="dxa"/>
            <w:tcBorders>
              <w:top w:val="nil"/>
              <w:left w:val="nil"/>
              <w:bottom w:val="nil"/>
              <w:right w:val="single" w:sz="8" w:space="0" w:color="auto"/>
            </w:tcBorders>
            <w:noWrap/>
            <w:vAlign w:val="bottom"/>
            <w:hideMark/>
          </w:tcPr>
          <w:p w:rsidR="00587374" w:rsidRDefault="00587374">
            <w:pPr>
              <w:spacing w:after="0" w:line="240" w:lineRule="auto"/>
              <w:rPr>
                <w:rFonts w:ascii="Tahoma" w:eastAsia="Times New Roman" w:hAnsi="Tahoma" w:cs="Tahoma"/>
                <w:sz w:val="18"/>
                <w:szCs w:val="18"/>
              </w:rPr>
            </w:pPr>
            <w:r>
              <w:rPr>
                <w:rFonts w:ascii="Tahoma" w:eastAsia="Times New Roman" w:hAnsi="Tahoma" w:cs="Tahoma"/>
                <w:sz w:val="18"/>
                <w:szCs w:val="18"/>
              </w:rPr>
              <w:t>Average</w:t>
            </w:r>
          </w:p>
        </w:tc>
        <w:tc>
          <w:tcPr>
            <w:tcW w:w="1203" w:type="dxa"/>
            <w:tcBorders>
              <w:top w:val="nil"/>
              <w:left w:val="single" w:sz="8" w:space="0" w:color="auto"/>
              <w:bottom w:val="nil"/>
              <w:right w:val="nil"/>
            </w:tcBorders>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17.9</w:t>
            </w:r>
          </w:p>
        </w:tc>
        <w:tc>
          <w:tcPr>
            <w:tcW w:w="960"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0.4</w:t>
            </w:r>
          </w:p>
        </w:tc>
        <w:tc>
          <w:tcPr>
            <w:tcW w:w="960"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0.7823</w:t>
            </w:r>
          </w:p>
        </w:tc>
        <w:tc>
          <w:tcPr>
            <w:tcW w:w="1600" w:type="dxa"/>
            <w:tcBorders>
              <w:top w:val="nil"/>
              <w:left w:val="nil"/>
              <w:bottom w:val="nil"/>
              <w:right w:val="single" w:sz="8" w:space="0" w:color="auto"/>
            </w:tcBorders>
            <w:noWrap/>
            <w:vAlign w:val="bottom"/>
            <w:hideMark/>
          </w:tcPr>
          <w:p w:rsidR="00587374" w:rsidRDefault="00587374">
            <w:pPr>
              <w:spacing w:after="0" w:line="240" w:lineRule="auto"/>
              <w:rPr>
                <w:rFonts w:ascii="Tahoma" w:eastAsia="Times New Roman" w:hAnsi="Tahoma" w:cs="Tahoma"/>
                <w:sz w:val="18"/>
                <w:szCs w:val="18"/>
              </w:rPr>
            </w:pPr>
            <w:r>
              <w:rPr>
                <w:rFonts w:ascii="Tahoma" w:eastAsia="Times New Roman" w:hAnsi="Tahoma" w:cs="Tahoma"/>
                <w:sz w:val="18"/>
                <w:szCs w:val="18"/>
              </w:rPr>
              <w:t>Average</w:t>
            </w:r>
          </w:p>
        </w:tc>
      </w:tr>
      <w:tr w:rsidR="00587374" w:rsidTr="00587374">
        <w:trPr>
          <w:trHeight w:val="225"/>
        </w:trPr>
        <w:tc>
          <w:tcPr>
            <w:tcW w:w="768"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581</w:t>
            </w:r>
          </w:p>
        </w:tc>
        <w:tc>
          <w:tcPr>
            <w:tcW w:w="1071"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18</w:t>
            </w:r>
          </w:p>
        </w:tc>
        <w:tc>
          <w:tcPr>
            <w:tcW w:w="1046"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17.1</w:t>
            </w:r>
          </w:p>
        </w:tc>
        <w:tc>
          <w:tcPr>
            <w:tcW w:w="900"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0.9</w:t>
            </w:r>
          </w:p>
        </w:tc>
        <w:tc>
          <w:tcPr>
            <w:tcW w:w="762"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0.4184</w:t>
            </w:r>
          </w:p>
        </w:tc>
        <w:tc>
          <w:tcPr>
            <w:tcW w:w="1483" w:type="dxa"/>
            <w:tcBorders>
              <w:top w:val="nil"/>
              <w:left w:val="nil"/>
              <w:bottom w:val="nil"/>
              <w:right w:val="single" w:sz="8" w:space="0" w:color="auto"/>
            </w:tcBorders>
            <w:noWrap/>
            <w:vAlign w:val="bottom"/>
            <w:hideMark/>
          </w:tcPr>
          <w:p w:rsidR="00587374" w:rsidRDefault="00587374">
            <w:pPr>
              <w:spacing w:after="0" w:line="240" w:lineRule="auto"/>
              <w:rPr>
                <w:rFonts w:ascii="Tahoma" w:eastAsia="Times New Roman" w:hAnsi="Tahoma" w:cs="Tahoma"/>
                <w:sz w:val="18"/>
                <w:szCs w:val="18"/>
              </w:rPr>
            </w:pPr>
            <w:r>
              <w:rPr>
                <w:rFonts w:ascii="Tahoma" w:eastAsia="Times New Roman" w:hAnsi="Tahoma" w:cs="Tahoma"/>
                <w:sz w:val="18"/>
                <w:szCs w:val="18"/>
              </w:rPr>
              <w:t>Average</w:t>
            </w:r>
          </w:p>
        </w:tc>
        <w:tc>
          <w:tcPr>
            <w:tcW w:w="1203" w:type="dxa"/>
            <w:tcBorders>
              <w:top w:val="nil"/>
              <w:left w:val="single" w:sz="8" w:space="0" w:color="auto"/>
              <w:bottom w:val="nil"/>
              <w:right w:val="nil"/>
            </w:tcBorders>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16.4</w:t>
            </w:r>
          </w:p>
        </w:tc>
        <w:tc>
          <w:tcPr>
            <w:tcW w:w="960"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1.6</w:t>
            </w:r>
          </w:p>
        </w:tc>
        <w:tc>
          <w:tcPr>
            <w:tcW w:w="960"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0.2422</w:t>
            </w:r>
          </w:p>
        </w:tc>
        <w:tc>
          <w:tcPr>
            <w:tcW w:w="1600" w:type="dxa"/>
            <w:tcBorders>
              <w:top w:val="nil"/>
              <w:left w:val="nil"/>
              <w:bottom w:val="nil"/>
              <w:right w:val="single" w:sz="8" w:space="0" w:color="auto"/>
            </w:tcBorders>
            <w:noWrap/>
            <w:vAlign w:val="bottom"/>
            <w:hideMark/>
          </w:tcPr>
          <w:p w:rsidR="00587374" w:rsidRDefault="00587374">
            <w:pPr>
              <w:spacing w:after="0" w:line="240" w:lineRule="auto"/>
              <w:rPr>
                <w:rFonts w:ascii="Tahoma" w:eastAsia="Times New Roman" w:hAnsi="Tahoma" w:cs="Tahoma"/>
                <w:sz w:val="18"/>
                <w:szCs w:val="18"/>
              </w:rPr>
            </w:pPr>
            <w:r>
              <w:rPr>
                <w:rFonts w:ascii="Tahoma" w:eastAsia="Times New Roman" w:hAnsi="Tahoma" w:cs="Tahoma"/>
                <w:sz w:val="18"/>
                <w:szCs w:val="18"/>
              </w:rPr>
              <w:t>Average</w:t>
            </w:r>
          </w:p>
        </w:tc>
      </w:tr>
      <w:tr w:rsidR="00587374" w:rsidTr="00587374">
        <w:trPr>
          <w:trHeight w:val="225"/>
        </w:trPr>
        <w:tc>
          <w:tcPr>
            <w:tcW w:w="768"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612</w:t>
            </w:r>
          </w:p>
        </w:tc>
        <w:tc>
          <w:tcPr>
            <w:tcW w:w="1071"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17.4</w:t>
            </w:r>
          </w:p>
        </w:tc>
        <w:tc>
          <w:tcPr>
            <w:tcW w:w="1046"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17.1</w:t>
            </w:r>
          </w:p>
        </w:tc>
        <w:tc>
          <w:tcPr>
            <w:tcW w:w="900"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0.3</w:t>
            </w:r>
          </w:p>
        </w:tc>
        <w:tc>
          <w:tcPr>
            <w:tcW w:w="762"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0.6649</w:t>
            </w:r>
          </w:p>
        </w:tc>
        <w:tc>
          <w:tcPr>
            <w:tcW w:w="1483" w:type="dxa"/>
            <w:tcBorders>
              <w:top w:val="nil"/>
              <w:left w:val="nil"/>
              <w:bottom w:val="nil"/>
              <w:right w:val="single" w:sz="8" w:space="0" w:color="auto"/>
            </w:tcBorders>
            <w:noWrap/>
            <w:vAlign w:val="bottom"/>
            <w:hideMark/>
          </w:tcPr>
          <w:p w:rsidR="00587374" w:rsidRDefault="00587374">
            <w:pPr>
              <w:spacing w:after="0" w:line="240" w:lineRule="auto"/>
              <w:rPr>
                <w:rFonts w:ascii="Tahoma" w:eastAsia="Times New Roman" w:hAnsi="Tahoma" w:cs="Tahoma"/>
                <w:sz w:val="18"/>
                <w:szCs w:val="18"/>
              </w:rPr>
            </w:pPr>
            <w:r>
              <w:rPr>
                <w:rFonts w:ascii="Tahoma" w:eastAsia="Times New Roman" w:hAnsi="Tahoma" w:cs="Tahoma"/>
                <w:sz w:val="18"/>
                <w:szCs w:val="18"/>
              </w:rPr>
              <w:t>Average</w:t>
            </w:r>
          </w:p>
        </w:tc>
        <w:tc>
          <w:tcPr>
            <w:tcW w:w="1203" w:type="dxa"/>
            <w:tcBorders>
              <w:top w:val="nil"/>
              <w:left w:val="single" w:sz="8" w:space="0" w:color="auto"/>
              <w:bottom w:val="nil"/>
              <w:right w:val="nil"/>
            </w:tcBorders>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17.4</w:t>
            </w:r>
          </w:p>
        </w:tc>
        <w:tc>
          <w:tcPr>
            <w:tcW w:w="960"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0</w:t>
            </w:r>
          </w:p>
        </w:tc>
        <w:tc>
          <w:tcPr>
            <w:tcW w:w="960"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0.9171</w:t>
            </w:r>
          </w:p>
        </w:tc>
        <w:tc>
          <w:tcPr>
            <w:tcW w:w="1600" w:type="dxa"/>
            <w:tcBorders>
              <w:top w:val="nil"/>
              <w:left w:val="nil"/>
              <w:bottom w:val="nil"/>
              <w:right w:val="single" w:sz="8" w:space="0" w:color="auto"/>
            </w:tcBorders>
            <w:noWrap/>
            <w:vAlign w:val="bottom"/>
            <w:hideMark/>
          </w:tcPr>
          <w:p w:rsidR="00587374" w:rsidRDefault="00587374">
            <w:pPr>
              <w:spacing w:after="0" w:line="240" w:lineRule="auto"/>
              <w:rPr>
                <w:rFonts w:ascii="Tahoma" w:eastAsia="Times New Roman" w:hAnsi="Tahoma" w:cs="Tahoma"/>
                <w:sz w:val="18"/>
                <w:szCs w:val="18"/>
              </w:rPr>
            </w:pPr>
            <w:r>
              <w:rPr>
                <w:rFonts w:ascii="Tahoma" w:eastAsia="Times New Roman" w:hAnsi="Tahoma" w:cs="Tahoma"/>
                <w:sz w:val="18"/>
                <w:szCs w:val="18"/>
              </w:rPr>
              <w:t>Average</w:t>
            </w:r>
          </w:p>
        </w:tc>
      </w:tr>
      <w:tr w:rsidR="00587374" w:rsidTr="00587374">
        <w:trPr>
          <w:trHeight w:val="225"/>
        </w:trPr>
        <w:tc>
          <w:tcPr>
            <w:tcW w:w="768"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694</w:t>
            </w:r>
          </w:p>
        </w:tc>
        <w:tc>
          <w:tcPr>
            <w:tcW w:w="1071"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18</w:t>
            </w:r>
          </w:p>
        </w:tc>
        <w:tc>
          <w:tcPr>
            <w:tcW w:w="1046"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17.1</w:t>
            </w:r>
          </w:p>
        </w:tc>
        <w:tc>
          <w:tcPr>
            <w:tcW w:w="900"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0.9</w:t>
            </w:r>
          </w:p>
        </w:tc>
        <w:tc>
          <w:tcPr>
            <w:tcW w:w="762"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0.2516</w:t>
            </w:r>
          </w:p>
        </w:tc>
        <w:tc>
          <w:tcPr>
            <w:tcW w:w="1483" w:type="dxa"/>
            <w:tcBorders>
              <w:top w:val="nil"/>
              <w:left w:val="nil"/>
              <w:bottom w:val="nil"/>
              <w:right w:val="single" w:sz="8" w:space="0" w:color="auto"/>
            </w:tcBorders>
            <w:noWrap/>
            <w:vAlign w:val="bottom"/>
            <w:hideMark/>
          </w:tcPr>
          <w:p w:rsidR="00587374" w:rsidRDefault="00587374">
            <w:pPr>
              <w:spacing w:after="0" w:line="240" w:lineRule="auto"/>
              <w:rPr>
                <w:rFonts w:ascii="Tahoma" w:eastAsia="Times New Roman" w:hAnsi="Tahoma" w:cs="Tahoma"/>
                <w:sz w:val="18"/>
                <w:szCs w:val="18"/>
              </w:rPr>
            </w:pPr>
            <w:r>
              <w:rPr>
                <w:rFonts w:ascii="Tahoma" w:eastAsia="Times New Roman" w:hAnsi="Tahoma" w:cs="Tahoma"/>
                <w:sz w:val="18"/>
                <w:szCs w:val="18"/>
              </w:rPr>
              <w:t>Average</w:t>
            </w:r>
          </w:p>
        </w:tc>
        <w:tc>
          <w:tcPr>
            <w:tcW w:w="1203" w:type="dxa"/>
            <w:tcBorders>
              <w:top w:val="nil"/>
              <w:left w:val="single" w:sz="8" w:space="0" w:color="auto"/>
              <w:bottom w:val="nil"/>
              <w:right w:val="nil"/>
            </w:tcBorders>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16.4</w:t>
            </w:r>
          </w:p>
        </w:tc>
        <w:tc>
          <w:tcPr>
            <w:tcW w:w="960"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1.6</w:t>
            </w:r>
          </w:p>
        </w:tc>
        <w:tc>
          <w:tcPr>
            <w:tcW w:w="960" w:type="dxa"/>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0.1124</w:t>
            </w:r>
          </w:p>
        </w:tc>
        <w:tc>
          <w:tcPr>
            <w:tcW w:w="1600" w:type="dxa"/>
            <w:tcBorders>
              <w:top w:val="nil"/>
              <w:left w:val="nil"/>
              <w:bottom w:val="nil"/>
              <w:right w:val="single" w:sz="8" w:space="0" w:color="auto"/>
            </w:tcBorders>
            <w:noWrap/>
            <w:vAlign w:val="bottom"/>
            <w:hideMark/>
          </w:tcPr>
          <w:p w:rsidR="00587374" w:rsidRDefault="00587374">
            <w:pPr>
              <w:spacing w:after="0" w:line="240" w:lineRule="auto"/>
              <w:rPr>
                <w:rFonts w:ascii="Tahoma" w:eastAsia="Times New Roman" w:hAnsi="Tahoma" w:cs="Tahoma"/>
                <w:sz w:val="18"/>
                <w:szCs w:val="18"/>
              </w:rPr>
            </w:pPr>
            <w:r>
              <w:rPr>
                <w:rFonts w:ascii="Tahoma" w:eastAsia="Times New Roman" w:hAnsi="Tahoma" w:cs="Tahoma"/>
                <w:sz w:val="18"/>
                <w:szCs w:val="18"/>
              </w:rPr>
              <w:t>Average</w:t>
            </w:r>
          </w:p>
        </w:tc>
      </w:tr>
      <w:tr w:rsidR="00587374" w:rsidTr="00587374">
        <w:trPr>
          <w:trHeight w:val="225"/>
        </w:trPr>
        <w:tc>
          <w:tcPr>
            <w:tcW w:w="768" w:type="dxa"/>
            <w:shd w:val="clear" w:color="auto" w:fill="FFFF00"/>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696</w:t>
            </w:r>
          </w:p>
        </w:tc>
        <w:tc>
          <w:tcPr>
            <w:tcW w:w="1071" w:type="dxa"/>
            <w:shd w:val="clear" w:color="auto" w:fill="FFFF00"/>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18.4</w:t>
            </w:r>
          </w:p>
        </w:tc>
        <w:tc>
          <w:tcPr>
            <w:tcW w:w="1046" w:type="dxa"/>
            <w:shd w:val="clear" w:color="auto" w:fill="FFFF00"/>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17.1</w:t>
            </w:r>
          </w:p>
        </w:tc>
        <w:tc>
          <w:tcPr>
            <w:tcW w:w="900" w:type="dxa"/>
            <w:shd w:val="clear" w:color="auto" w:fill="FFFF00"/>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1.3</w:t>
            </w:r>
          </w:p>
        </w:tc>
        <w:tc>
          <w:tcPr>
            <w:tcW w:w="762" w:type="dxa"/>
            <w:shd w:val="clear" w:color="auto" w:fill="FFFF00"/>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0.0269</w:t>
            </w:r>
          </w:p>
        </w:tc>
        <w:tc>
          <w:tcPr>
            <w:tcW w:w="1483" w:type="dxa"/>
            <w:tcBorders>
              <w:top w:val="nil"/>
              <w:left w:val="nil"/>
              <w:bottom w:val="nil"/>
              <w:right w:val="single" w:sz="8" w:space="0" w:color="auto"/>
            </w:tcBorders>
            <w:shd w:val="clear" w:color="auto" w:fill="FFFF00"/>
            <w:noWrap/>
            <w:vAlign w:val="bottom"/>
            <w:hideMark/>
          </w:tcPr>
          <w:p w:rsidR="00587374" w:rsidRDefault="00587374">
            <w:pPr>
              <w:spacing w:after="0" w:line="240" w:lineRule="auto"/>
              <w:rPr>
                <w:rFonts w:ascii="Tahoma" w:eastAsia="Times New Roman" w:hAnsi="Tahoma" w:cs="Tahoma"/>
                <w:sz w:val="18"/>
                <w:szCs w:val="18"/>
              </w:rPr>
            </w:pPr>
            <w:r>
              <w:rPr>
                <w:rFonts w:ascii="Tahoma" w:eastAsia="Times New Roman" w:hAnsi="Tahoma" w:cs="Tahoma"/>
                <w:sz w:val="18"/>
                <w:szCs w:val="18"/>
              </w:rPr>
              <w:t>Above Average</w:t>
            </w:r>
          </w:p>
        </w:tc>
        <w:tc>
          <w:tcPr>
            <w:tcW w:w="1203" w:type="dxa"/>
            <w:tcBorders>
              <w:top w:val="nil"/>
              <w:left w:val="single" w:sz="8" w:space="0" w:color="auto"/>
              <w:bottom w:val="nil"/>
              <w:right w:val="nil"/>
            </w:tcBorders>
            <w:shd w:val="clear" w:color="auto" w:fill="FFFF00"/>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17.6</w:t>
            </w:r>
          </w:p>
        </w:tc>
        <w:tc>
          <w:tcPr>
            <w:tcW w:w="960" w:type="dxa"/>
            <w:shd w:val="clear" w:color="auto" w:fill="FFFF00"/>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0.8</w:t>
            </w:r>
          </w:p>
        </w:tc>
        <w:tc>
          <w:tcPr>
            <w:tcW w:w="960" w:type="dxa"/>
            <w:shd w:val="clear" w:color="auto" w:fill="FFFF00"/>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0.2007</w:t>
            </w:r>
          </w:p>
        </w:tc>
        <w:tc>
          <w:tcPr>
            <w:tcW w:w="1600" w:type="dxa"/>
            <w:tcBorders>
              <w:top w:val="nil"/>
              <w:left w:val="nil"/>
              <w:bottom w:val="nil"/>
              <w:right w:val="single" w:sz="8" w:space="0" w:color="auto"/>
            </w:tcBorders>
            <w:shd w:val="clear" w:color="auto" w:fill="FFFF00"/>
            <w:noWrap/>
            <w:vAlign w:val="bottom"/>
            <w:hideMark/>
          </w:tcPr>
          <w:p w:rsidR="00587374" w:rsidRDefault="00587374">
            <w:pPr>
              <w:spacing w:after="0" w:line="240" w:lineRule="auto"/>
              <w:rPr>
                <w:rFonts w:ascii="Tahoma" w:eastAsia="Times New Roman" w:hAnsi="Tahoma" w:cs="Tahoma"/>
                <w:sz w:val="18"/>
                <w:szCs w:val="18"/>
              </w:rPr>
            </w:pPr>
            <w:r>
              <w:rPr>
                <w:rFonts w:ascii="Tahoma" w:eastAsia="Times New Roman" w:hAnsi="Tahoma" w:cs="Tahoma"/>
                <w:sz w:val="18"/>
                <w:szCs w:val="18"/>
              </w:rPr>
              <w:t>Average</w:t>
            </w:r>
          </w:p>
        </w:tc>
      </w:tr>
      <w:tr w:rsidR="00587374" w:rsidTr="00587374">
        <w:trPr>
          <w:trHeight w:val="240"/>
        </w:trPr>
        <w:tc>
          <w:tcPr>
            <w:tcW w:w="768" w:type="dxa"/>
            <w:tcBorders>
              <w:top w:val="nil"/>
              <w:left w:val="nil"/>
              <w:bottom w:val="single" w:sz="8" w:space="0" w:color="auto"/>
              <w:right w:val="nil"/>
            </w:tcBorders>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818</w:t>
            </w:r>
          </w:p>
        </w:tc>
        <w:tc>
          <w:tcPr>
            <w:tcW w:w="1071" w:type="dxa"/>
            <w:tcBorders>
              <w:top w:val="nil"/>
              <w:left w:val="nil"/>
              <w:bottom w:val="single" w:sz="8" w:space="0" w:color="auto"/>
              <w:right w:val="nil"/>
            </w:tcBorders>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18.2</w:t>
            </w:r>
          </w:p>
        </w:tc>
        <w:tc>
          <w:tcPr>
            <w:tcW w:w="1046" w:type="dxa"/>
            <w:tcBorders>
              <w:top w:val="nil"/>
              <w:left w:val="nil"/>
              <w:bottom w:val="single" w:sz="8" w:space="0" w:color="auto"/>
              <w:right w:val="nil"/>
            </w:tcBorders>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17.1</w:t>
            </w:r>
          </w:p>
        </w:tc>
        <w:tc>
          <w:tcPr>
            <w:tcW w:w="900" w:type="dxa"/>
            <w:tcBorders>
              <w:top w:val="nil"/>
              <w:left w:val="nil"/>
              <w:bottom w:val="single" w:sz="8" w:space="0" w:color="auto"/>
              <w:right w:val="nil"/>
            </w:tcBorders>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1.1</w:t>
            </w:r>
          </w:p>
        </w:tc>
        <w:tc>
          <w:tcPr>
            <w:tcW w:w="762" w:type="dxa"/>
            <w:tcBorders>
              <w:top w:val="nil"/>
              <w:left w:val="nil"/>
              <w:bottom w:val="single" w:sz="8" w:space="0" w:color="auto"/>
              <w:right w:val="nil"/>
            </w:tcBorders>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0.2404</w:t>
            </w:r>
          </w:p>
        </w:tc>
        <w:tc>
          <w:tcPr>
            <w:tcW w:w="1483" w:type="dxa"/>
            <w:tcBorders>
              <w:top w:val="nil"/>
              <w:left w:val="nil"/>
              <w:bottom w:val="single" w:sz="8" w:space="0" w:color="auto"/>
              <w:right w:val="single" w:sz="8" w:space="0" w:color="auto"/>
            </w:tcBorders>
            <w:noWrap/>
            <w:vAlign w:val="bottom"/>
            <w:hideMark/>
          </w:tcPr>
          <w:p w:rsidR="00587374" w:rsidRDefault="00587374">
            <w:pPr>
              <w:spacing w:after="0" w:line="240" w:lineRule="auto"/>
              <w:rPr>
                <w:rFonts w:ascii="Tahoma" w:eastAsia="Times New Roman" w:hAnsi="Tahoma" w:cs="Tahoma"/>
                <w:sz w:val="18"/>
                <w:szCs w:val="18"/>
              </w:rPr>
            </w:pPr>
            <w:r>
              <w:rPr>
                <w:rFonts w:ascii="Tahoma" w:eastAsia="Times New Roman" w:hAnsi="Tahoma" w:cs="Tahoma"/>
                <w:sz w:val="18"/>
                <w:szCs w:val="18"/>
              </w:rPr>
              <w:t>Average</w:t>
            </w:r>
          </w:p>
        </w:tc>
        <w:tc>
          <w:tcPr>
            <w:tcW w:w="1203" w:type="dxa"/>
            <w:tcBorders>
              <w:top w:val="nil"/>
              <w:left w:val="single" w:sz="8" w:space="0" w:color="auto"/>
              <w:bottom w:val="single" w:sz="8" w:space="0" w:color="auto"/>
              <w:right w:val="nil"/>
            </w:tcBorders>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18.1</w:t>
            </w:r>
          </w:p>
        </w:tc>
        <w:tc>
          <w:tcPr>
            <w:tcW w:w="960" w:type="dxa"/>
            <w:tcBorders>
              <w:top w:val="nil"/>
              <w:left w:val="nil"/>
              <w:bottom w:val="single" w:sz="8" w:space="0" w:color="auto"/>
              <w:right w:val="nil"/>
            </w:tcBorders>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0.1</w:t>
            </w:r>
          </w:p>
        </w:tc>
        <w:tc>
          <w:tcPr>
            <w:tcW w:w="960" w:type="dxa"/>
            <w:tcBorders>
              <w:top w:val="nil"/>
              <w:left w:val="nil"/>
              <w:bottom w:val="single" w:sz="8" w:space="0" w:color="auto"/>
              <w:right w:val="nil"/>
            </w:tcBorders>
            <w:noWrap/>
            <w:vAlign w:val="bottom"/>
            <w:hideMark/>
          </w:tcPr>
          <w:p w:rsidR="00587374" w:rsidRDefault="00587374">
            <w:pPr>
              <w:spacing w:after="0" w:line="240" w:lineRule="auto"/>
              <w:jc w:val="right"/>
              <w:rPr>
                <w:rFonts w:ascii="Tahoma" w:eastAsia="Times New Roman" w:hAnsi="Tahoma" w:cs="Tahoma"/>
                <w:sz w:val="18"/>
                <w:szCs w:val="18"/>
              </w:rPr>
            </w:pPr>
            <w:r>
              <w:rPr>
                <w:rFonts w:ascii="Tahoma" w:eastAsia="Times New Roman" w:hAnsi="Tahoma" w:cs="Tahoma"/>
                <w:sz w:val="18"/>
                <w:szCs w:val="18"/>
              </w:rPr>
              <w:t>0.9021</w:t>
            </w:r>
          </w:p>
        </w:tc>
        <w:tc>
          <w:tcPr>
            <w:tcW w:w="1600" w:type="dxa"/>
            <w:tcBorders>
              <w:top w:val="nil"/>
              <w:left w:val="nil"/>
              <w:bottom w:val="single" w:sz="8" w:space="0" w:color="auto"/>
              <w:right w:val="single" w:sz="8" w:space="0" w:color="auto"/>
            </w:tcBorders>
            <w:noWrap/>
            <w:vAlign w:val="bottom"/>
            <w:hideMark/>
          </w:tcPr>
          <w:p w:rsidR="00587374" w:rsidRDefault="00587374">
            <w:pPr>
              <w:spacing w:after="0" w:line="240" w:lineRule="auto"/>
              <w:rPr>
                <w:rFonts w:ascii="Tahoma" w:eastAsia="Times New Roman" w:hAnsi="Tahoma" w:cs="Tahoma"/>
                <w:sz w:val="18"/>
                <w:szCs w:val="18"/>
              </w:rPr>
            </w:pPr>
            <w:r>
              <w:rPr>
                <w:rFonts w:ascii="Tahoma" w:eastAsia="Times New Roman" w:hAnsi="Tahoma" w:cs="Tahoma"/>
                <w:sz w:val="18"/>
                <w:szCs w:val="18"/>
              </w:rPr>
              <w:t>Average</w:t>
            </w:r>
          </w:p>
        </w:tc>
      </w:tr>
    </w:tbl>
    <w:p w:rsidR="00587374" w:rsidRDefault="00587374" w:rsidP="00587374">
      <w:pPr>
        <w:rPr>
          <w:rFonts w:cstheme="minorHAnsi"/>
          <w:bCs/>
        </w:rPr>
      </w:pPr>
    </w:p>
    <w:p w:rsidR="00587374" w:rsidRDefault="00587374" w:rsidP="00587374">
      <w:pPr>
        <w:autoSpaceDE w:val="0"/>
        <w:autoSpaceDN w:val="0"/>
        <w:adjustRightInd w:val="0"/>
        <w:spacing w:after="0" w:line="240" w:lineRule="auto"/>
        <w:rPr>
          <w:rFonts w:cstheme="minorHAnsi"/>
          <w:bCs/>
        </w:rPr>
      </w:pPr>
      <w:r>
        <w:rPr>
          <w:rFonts w:cstheme="minorHAnsi"/>
          <w:b/>
          <w:bCs/>
        </w:rPr>
        <w:t xml:space="preserve">2b4.10. </w:t>
      </w:r>
      <w:proofErr w:type="gramStart"/>
      <w:r>
        <w:rPr>
          <w:rFonts w:cstheme="minorHAnsi"/>
          <w:b/>
          <w:bCs/>
        </w:rPr>
        <w:t>What</w:t>
      </w:r>
      <w:proofErr w:type="gramEnd"/>
      <w:r>
        <w:rPr>
          <w:rFonts w:cstheme="minorHAnsi"/>
          <w:b/>
          <w:bCs/>
        </w:rPr>
        <w:t xml:space="preserve"> is your interpretation of the results in terms of demonstrating adequacy of controlling for differences in patient characteristics (case mix)?</w:t>
      </w:r>
      <w:r>
        <w:rPr>
          <w:rFonts w:cstheme="minorHAnsi"/>
          <w:bCs/>
        </w:rPr>
        <w:t xml:space="preserve"> (i</w:t>
      </w:r>
      <w:r>
        <w:rPr>
          <w:rFonts w:cstheme="minorHAnsi"/>
          <w:bCs/>
          <w:i/>
        </w:rPr>
        <w:t xml:space="preserve">.e., what do the results mean and what are the norms for the test </w:t>
      </w:r>
      <w:proofErr w:type="gramStart"/>
      <w:r>
        <w:rPr>
          <w:rFonts w:cstheme="minorHAnsi"/>
          <w:bCs/>
          <w:i/>
        </w:rPr>
        <w:t>conducted</w:t>
      </w:r>
      <w:proofErr w:type="gramEnd"/>
      <w:r>
        <w:rPr>
          <w:rFonts w:cstheme="minorHAnsi"/>
          <w:bCs/>
        </w:rPr>
        <w:t>)</w:t>
      </w:r>
      <w:r>
        <w:rPr>
          <w:rFonts w:cstheme="minorHAnsi"/>
          <w:bCs/>
        </w:rPr>
        <w:br/>
      </w:r>
    </w:p>
    <w:p w:rsidR="00587374" w:rsidRDefault="00587374" w:rsidP="00587374">
      <w:pPr>
        <w:spacing w:after="0" w:line="240" w:lineRule="auto"/>
        <w:rPr>
          <w:rFonts w:cstheme="minorHAnsi"/>
        </w:rPr>
      </w:pPr>
      <w:r>
        <w:rPr>
          <w:rFonts w:cstheme="minorHAnsi"/>
        </w:rPr>
        <w:t xml:space="preserve">Patients with poorer functional status prior to surgery have greater potential for a larger magnitude of absolute change in functional status than do patients with </w:t>
      </w:r>
      <w:r w:rsidR="006F1260">
        <w:rPr>
          <w:rFonts w:cstheme="minorHAnsi"/>
        </w:rPr>
        <w:t>better</w:t>
      </w:r>
      <w:r>
        <w:rPr>
          <w:rFonts w:cstheme="minorHAnsi"/>
        </w:rPr>
        <w:t xml:space="preserve"> initial functional status.  As a result, any attempt to isolate the provider’s contribution to the outcome of interest as measured by the absolute average change in functional status must take this into account.  The application of a risk model which utilizes initial functional status </w:t>
      </w:r>
      <w:r w:rsidR="006F1260">
        <w:rPr>
          <w:rFonts w:cstheme="minorHAnsi"/>
        </w:rPr>
        <w:t>results in</w:t>
      </w:r>
      <w:r>
        <w:rPr>
          <w:rFonts w:cstheme="minorHAnsi"/>
        </w:rPr>
        <w:t xml:space="preserve"> the absolute change achieved by a patient with poorer initial functional status is muted and that change achieved by a patient with better functional status initially is magnified.  While this may seem to give additional “credit” or consideration to providers who are operating on “healthier” patients, which is counter intuitive to the intent of risk adjustment, the nature of this measure’s construction and the floor effect of the change score for patients with </w:t>
      </w:r>
      <w:r w:rsidR="006F1260">
        <w:rPr>
          <w:rFonts w:cstheme="minorHAnsi"/>
        </w:rPr>
        <w:t>better</w:t>
      </w:r>
      <w:r>
        <w:rPr>
          <w:rFonts w:cstheme="minorHAnsi"/>
        </w:rPr>
        <w:t xml:space="preserve"> initial functional status, warrant this approach.  </w:t>
      </w:r>
    </w:p>
    <w:p w:rsidR="00587374" w:rsidRDefault="00587374" w:rsidP="00587374">
      <w:pPr>
        <w:spacing w:after="0" w:line="240" w:lineRule="auto"/>
        <w:rPr>
          <w:rFonts w:cstheme="minorHAnsi"/>
        </w:rPr>
      </w:pPr>
    </w:p>
    <w:p w:rsidR="00587374" w:rsidRDefault="00587374" w:rsidP="00587374">
      <w:pPr>
        <w:spacing w:after="0" w:line="240" w:lineRule="auto"/>
        <w:rPr>
          <w:rFonts w:cstheme="minorHAnsi"/>
        </w:rPr>
      </w:pPr>
      <w:r>
        <w:rPr>
          <w:rFonts w:cstheme="minorHAnsi"/>
        </w:rPr>
        <w:t>It is worth noting that functional status is not the sole determining factor of appropriateness for surgery, and any attempt to use this measure to demonstrate such is contrary to the intent of the measure. This measure is NOT a measure of appro</w:t>
      </w:r>
      <w:bookmarkStart w:id="1" w:name="_GoBack"/>
      <w:bookmarkEnd w:id="1"/>
      <w:r>
        <w:rPr>
          <w:rFonts w:cstheme="minorHAnsi"/>
        </w:rPr>
        <w:t xml:space="preserve">priateness for surgery, and MNCM cautions any interpretation as such.  </w:t>
      </w:r>
    </w:p>
    <w:p w:rsidR="00587374" w:rsidRDefault="00587374" w:rsidP="00587374">
      <w:pPr>
        <w:spacing w:after="0" w:line="240" w:lineRule="auto"/>
        <w:rPr>
          <w:rFonts w:cstheme="minorHAnsi"/>
        </w:rPr>
      </w:pPr>
    </w:p>
    <w:p w:rsidR="00587374" w:rsidRDefault="00587374" w:rsidP="00587374">
      <w:pPr>
        <w:spacing w:after="0" w:line="240" w:lineRule="auto"/>
        <w:rPr>
          <w:rFonts w:cstheme="minorHAnsi"/>
        </w:rPr>
      </w:pPr>
      <w:r>
        <w:rPr>
          <w:rFonts w:cstheme="minorHAnsi"/>
          <w:b/>
          <w:highlight w:val="green"/>
        </w:rPr>
        <w:t>2b4.11.</w:t>
      </w:r>
      <w:r>
        <w:rPr>
          <w:rFonts w:cstheme="minorHAnsi"/>
          <w:highlight w:val="green"/>
        </w:rPr>
        <w:t xml:space="preserve"> </w:t>
      </w:r>
      <w:r>
        <w:rPr>
          <w:rFonts w:cstheme="minorHAnsi"/>
          <w:b/>
          <w:highlight w:val="green"/>
        </w:rPr>
        <w:t>Optional Additional Testing for Risk Adjustment</w:t>
      </w:r>
      <w:r>
        <w:rPr>
          <w:rFonts w:cstheme="minorHAnsi"/>
          <w:b/>
        </w:rPr>
        <w:t xml:space="preserve"> </w:t>
      </w:r>
      <w:r>
        <w:rPr>
          <w:rFonts w:cstheme="minorHAnsi"/>
        </w:rPr>
        <w:t>(</w:t>
      </w:r>
      <w:r>
        <w:rPr>
          <w:rFonts w:cstheme="minorHAnsi"/>
          <w:i/>
          <w:u w:val="single"/>
        </w:rPr>
        <w:t>not required</w:t>
      </w:r>
      <w:r>
        <w:rPr>
          <w:rFonts w:cstheme="minorHAnsi"/>
          <w:i/>
        </w:rPr>
        <w:t>, but would provide additional support of adequacy of risk model, e.g., testing of risk model in another data set; sensitivity analysis for missing data; other methods that were assessed</w:t>
      </w:r>
      <w:r>
        <w:rPr>
          <w:rFonts w:cstheme="minorHAnsi"/>
        </w:rPr>
        <w:t>)</w:t>
      </w:r>
    </w:p>
    <w:p w:rsidR="00587374" w:rsidRDefault="00587374" w:rsidP="00587374">
      <w:pPr>
        <w:autoSpaceDE w:val="0"/>
        <w:autoSpaceDN w:val="0"/>
        <w:adjustRightInd w:val="0"/>
        <w:spacing w:after="0" w:line="240" w:lineRule="auto"/>
        <w:rPr>
          <w:rFonts w:cstheme="minorHAnsi"/>
          <w:b/>
          <w:bCs/>
        </w:rPr>
      </w:pPr>
    </w:p>
    <w:p w:rsidR="00587374" w:rsidRDefault="00587374" w:rsidP="00587374"/>
    <w:p w:rsidR="00EE3C3B" w:rsidRDefault="00EE3C3B"/>
    <w:sectPr w:rsidR="00EE3C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B801F8"/>
    <w:multiLevelType w:val="hybridMultilevel"/>
    <w:tmpl w:val="5B9A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7374"/>
    <w:rsid w:val="002B621C"/>
    <w:rsid w:val="0048657D"/>
    <w:rsid w:val="00587374"/>
    <w:rsid w:val="006F1260"/>
    <w:rsid w:val="007733C1"/>
    <w:rsid w:val="008E74C9"/>
    <w:rsid w:val="00EE3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7374"/>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87374"/>
    <w:rPr>
      <w:color w:val="0000FF" w:themeColor="hyperlink"/>
      <w:u w:val="single"/>
    </w:rPr>
  </w:style>
  <w:style w:type="paragraph" w:styleId="CommentText">
    <w:name w:val="annotation text"/>
    <w:basedOn w:val="Normal"/>
    <w:link w:val="CommentTextChar"/>
    <w:uiPriority w:val="99"/>
    <w:semiHidden/>
    <w:unhideWhenUsed/>
    <w:rsid w:val="00587374"/>
    <w:pPr>
      <w:spacing w:line="240" w:lineRule="auto"/>
    </w:pPr>
    <w:rPr>
      <w:sz w:val="20"/>
      <w:szCs w:val="20"/>
    </w:rPr>
  </w:style>
  <w:style w:type="character" w:customStyle="1" w:styleId="CommentTextChar">
    <w:name w:val="Comment Text Char"/>
    <w:basedOn w:val="DefaultParagraphFont"/>
    <w:link w:val="CommentText"/>
    <w:uiPriority w:val="99"/>
    <w:semiHidden/>
    <w:rsid w:val="00587374"/>
    <w:rPr>
      <w:rFonts w:eastAsiaTheme="minorEastAsia"/>
      <w:sz w:val="20"/>
      <w:szCs w:val="20"/>
    </w:rPr>
  </w:style>
  <w:style w:type="paragraph" w:styleId="NoSpacing">
    <w:name w:val="No Spacing"/>
    <w:uiPriority w:val="1"/>
    <w:qFormat/>
    <w:rsid w:val="00587374"/>
    <w:pPr>
      <w:spacing w:after="0" w:line="240" w:lineRule="auto"/>
    </w:pPr>
    <w:rPr>
      <w:rFonts w:eastAsiaTheme="minorEastAsia"/>
      <w:spacing w:val="4"/>
      <w:sz w:val="20"/>
      <w:szCs w:val="20"/>
      <w:lang w:eastAsia="ja-JP"/>
    </w:rPr>
  </w:style>
  <w:style w:type="paragraph" w:styleId="ListParagraph">
    <w:name w:val="List Paragraph"/>
    <w:basedOn w:val="Normal"/>
    <w:uiPriority w:val="34"/>
    <w:qFormat/>
    <w:rsid w:val="00587374"/>
    <w:pPr>
      <w:ind w:left="720"/>
      <w:contextualSpacing/>
    </w:pPr>
  </w:style>
  <w:style w:type="character" w:styleId="CommentReference">
    <w:name w:val="annotation reference"/>
    <w:basedOn w:val="DefaultParagraphFont"/>
    <w:uiPriority w:val="99"/>
    <w:semiHidden/>
    <w:unhideWhenUsed/>
    <w:rsid w:val="00587374"/>
    <w:rPr>
      <w:sz w:val="16"/>
      <w:szCs w:val="16"/>
    </w:rPr>
  </w:style>
  <w:style w:type="character" w:styleId="PlaceholderText">
    <w:name w:val="Placeholder Text"/>
    <w:basedOn w:val="DefaultParagraphFont"/>
    <w:uiPriority w:val="99"/>
    <w:semiHidden/>
    <w:rsid w:val="00587374"/>
    <w:rPr>
      <w:color w:val="808080"/>
    </w:rPr>
  </w:style>
  <w:style w:type="character" w:customStyle="1" w:styleId="Style1">
    <w:name w:val="Style1"/>
    <w:basedOn w:val="DefaultParagraphFont"/>
    <w:uiPriority w:val="1"/>
    <w:rsid w:val="00587374"/>
    <w:rPr>
      <w:rFonts w:asciiTheme="minorHAnsi" w:hAnsiTheme="minorHAnsi" w:hint="default"/>
      <w:color w:val="0000FF"/>
      <w:sz w:val="22"/>
    </w:rPr>
  </w:style>
  <w:style w:type="character" w:customStyle="1" w:styleId="Style4">
    <w:name w:val="Style4"/>
    <w:basedOn w:val="DefaultParagraphFont"/>
    <w:uiPriority w:val="1"/>
    <w:rsid w:val="00587374"/>
    <w:rPr>
      <w:rFonts w:ascii="Calibri" w:hAnsi="Calibri" w:hint="default"/>
      <w:b/>
      <w:bCs w:val="0"/>
      <w:color w:val="0070C0"/>
      <w:sz w:val="22"/>
      <w:u w:val="single"/>
    </w:rPr>
  </w:style>
  <w:style w:type="table" w:styleId="LightShading-Accent1">
    <w:name w:val="Light Shading Accent 1"/>
    <w:basedOn w:val="TableNormal"/>
    <w:uiPriority w:val="60"/>
    <w:rsid w:val="00587374"/>
    <w:pPr>
      <w:spacing w:after="0" w:line="240" w:lineRule="auto"/>
    </w:pPr>
    <w:rPr>
      <w:rFonts w:eastAsiaTheme="minorEastAsia"/>
      <w:color w:val="365F91" w:themeColor="accent1" w:themeShade="BF"/>
      <w:lang w:eastAsia="ja-JP"/>
    </w:rPr>
    <w:tblPr>
      <w:tblStyleRowBandSize w:val="1"/>
      <w:tblStyleColBandSize w:val="1"/>
      <w:tblInd w:w="0" w:type="nil"/>
      <w:tblBorders>
        <w:top w:val="single" w:sz="8" w:space="0" w:color="4F81BD" w:themeColor="accent1"/>
        <w:bottom w:val="single" w:sz="8" w:space="0" w:color="4F81BD" w:themeColor="accent1"/>
      </w:tblBorders>
    </w:tblPr>
    <w:tblStylePr w:type="firstRow">
      <w:pPr>
        <w:spacing w:beforeLines="0" w:before="100" w:beforeAutospacing="1" w:afterLines="0" w:after="100" w:afterAutospacing="1"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3">
    <w:name w:val="Light Shading Accent 3"/>
    <w:basedOn w:val="TableNormal"/>
    <w:uiPriority w:val="60"/>
    <w:rsid w:val="00587374"/>
    <w:pPr>
      <w:spacing w:after="0" w:line="240" w:lineRule="auto"/>
    </w:pPr>
    <w:rPr>
      <w:rFonts w:eastAsiaTheme="minorEastAsia"/>
      <w:color w:val="76923C" w:themeColor="accent3" w:themeShade="BF"/>
      <w:lang w:eastAsia="ja-JP"/>
    </w:rPr>
    <w:tblPr>
      <w:tblStyleRowBandSize w:val="1"/>
      <w:tblStyleColBandSize w:val="1"/>
      <w:tblInd w:w="0" w:type="nil"/>
      <w:tblBorders>
        <w:top w:val="single" w:sz="8" w:space="0" w:color="9BBB59" w:themeColor="accent3"/>
        <w:bottom w:val="single" w:sz="8" w:space="0" w:color="9BBB59" w:themeColor="accent3"/>
      </w:tblBorders>
    </w:tblPr>
    <w:tblStylePr w:type="firstRow">
      <w:pPr>
        <w:spacing w:beforeLines="0" w:before="100" w:beforeAutospacing="1" w:afterLines="0" w:after="100" w:afterAutospacing="1"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6">
    <w:name w:val="Light Shading Accent 6"/>
    <w:basedOn w:val="TableNormal"/>
    <w:uiPriority w:val="60"/>
    <w:rsid w:val="00587374"/>
    <w:pPr>
      <w:spacing w:after="0" w:line="240" w:lineRule="auto"/>
    </w:pPr>
    <w:rPr>
      <w:rFonts w:eastAsiaTheme="minorEastAsia"/>
      <w:color w:val="E36C0A" w:themeColor="accent6" w:themeShade="BF"/>
      <w:lang w:eastAsia="ja-JP"/>
    </w:rPr>
    <w:tblPr>
      <w:tblStyleRowBandSize w:val="1"/>
      <w:tblStyleColBandSize w:val="1"/>
      <w:tblInd w:w="0" w:type="nil"/>
      <w:tblBorders>
        <w:top w:val="single" w:sz="8" w:space="0" w:color="F79646" w:themeColor="accent6"/>
        <w:bottom w:val="single" w:sz="8" w:space="0" w:color="F79646" w:themeColor="accent6"/>
      </w:tblBorders>
    </w:tblPr>
    <w:tblStylePr w:type="firstRow">
      <w:pPr>
        <w:spacing w:beforeLines="0" w:before="100" w:beforeAutospacing="1" w:afterLines="0" w:after="100" w:afterAutospacing="1"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BalloonText">
    <w:name w:val="Balloon Text"/>
    <w:basedOn w:val="Normal"/>
    <w:link w:val="BalloonTextChar"/>
    <w:uiPriority w:val="99"/>
    <w:semiHidden/>
    <w:unhideWhenUsed/>
    <w:rsid w:val="0058737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7374"/>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semiHidden/>
    <w:unhideWhenUsed/>
    <w:rsid w:val="008E74C9"/>
    <w:rPr>
      <w:b/>
      <w:bCs/>
    </w:rPr>
  </w:style>
  <w:style w:type="character" w:customStyle="1" w:styleId="CommentSubjectChar">
    <w:name w:val="Comment Subject Char"/>
    <w:basedOn w:val="CommentTextChar"/>
    <w:link w:val="CommentSubject"/>
    <w:uiPriority w:val="99"/>
    <w:semiHidden/>
    <w:rsid w:val="008E74C9"/>
    <w:rPr>
      <w:rFonts w:eastAsiaTheme="minorEastAsia"/>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7374"/>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87374"/>
    <w:rPr>
      <w:color w:val="0000FF" w:themeColor="hyperlink"/>
      <w:u w:val="single"/>
    </w:rPr>
  </w:style>
  <w:style w:type="paragraph" w:styleId="CommentText">
    <w:name w:val="annotation text"/>
    <w:basedOn w:val="Normal"/>
    <w:link w:val="CommentTextChar"/>
    <w:uiPriority w:val="99"/>
    <w:semiHidden/>
    <w:unhideWhenUsed/>
    <w:rsid w:val="00587374"/>
    <w:pPr>
      <w:spacing w:line="240" w:lineRule="auto"/>
    </w:pPr>
    <w:rPr>
      <w:sz w:val="20"/>
      <w:szCs w:val="20"/>
    </w:rPr>
  </w:style>
  <w:style w:type="character" w:customStyle="1" w:styleId="CommentTextChar">
    <w:name w:val="Comment Text Char"/>
    <w:basedOn w:val="DefaultParagraphFont"/>
    <w:link w:val="CommentText"/>
    <w:uiPriority w:val="99"/>
    <w:semiHidden/>
    <w:rsid w:val="00587374"/>
    <w:rPr>
      <w:rFonts w:eastAsiaTheme="minorEastAsia"/>
      <w:sz w:val="20"/>
      <w:szCs w:val="20"/>
    </w:rPr>
  </w:style>
  <w:style w:type="paragraph" w:styleId="NoSpacing">
    <w:name w:val="No Spacing"/>
    <w:uiPriority w:val="1"/>
    <w:qFormat/>
    <w:rsid w:val="00587374"/>
    <w:pPr>
      <w:spacing w:after="0" w:line="240" w:lineRule="auto"/>
    </w:pPr>
    <w:rPr>
      <w:rFonts w:eastAsiaTheme="minorEastAsia"/>
      <w:spacing w:val="4"/>
      <w:sz w:val="20"/>
      <w:szCs w:val="20"/>
      <w:lang w:eastAsia="ja-JP"/>
    </w:rPr>
  </w:style>
  <w:style w:type="paragraph" w:styleId="ListParagraph">
    <w:name w:val="List Paragraph"/>
    <w:basedOn w:val="Normal"/>
    <w:uiPriority w:val="34"/>
    <w:qFormat/>
    <w:rsid w:val="00587374"/>
    <w:pPr>
      <w:ind w:left="720"/>
      <w:contextualSpacing/>
    </w:pPr>
  </w:style>
  <w:style w:type="character" w:styleId="CommentReference">
    <w:name w:val="annotation reference"/>
    <w:basedOn w:val="DefaultParagraphFont"/>
    <w:uiPriority w:val="99"/>
    <w:semiHidden/>
    <w:unhideWhenUsed/>
    <w:rsid w:val="00587374"/>
    <w:rPr>
      <w:sz w:val="16"/>
      <w:szCs w:val="16"/>
    </w:rPr>
  </w:style>
  <w:style w:type="character" w:styleId="PlaceholderText">
    <w:name w:val="Placeholder Text"/>
    <w:basedOn w:val="DefaultParagraphFont"/>
    <w:uiPriority w:val="99"/>
    <w:semiHidden/>
    <w:rsid w:val="00587374"/>
    <w:rPr>
      <w:color w:val="808080"/>
    </w:rPr>
  </w:style>
  <w:style w:type="character" w:customStyle="1" w:styleId="Style1">
    <w:name w:val="Style1"/>
    <w:basedOn w:val="DefaultParagraphFont"/>
    <w:uiPriority w:val="1"/>
    <w:rsid w:val="00587374"/>
    <w:rPr>
      <w:rFonts w:asciiTheme="minorHAnsi" w:hAnsiTheme="minorHAnsi" w:hint="default"/>
      <w:color w:val="0000FF"/>
      <w:sz w:val="22"/>
    </w:rPr>
  </w:style>
  <w:style w:type="character" w:customStyle="1" w:styleId="Style4">
    <w:name w:val="Style4"/>
    <w:basedOn w:val="DefaultParagraphFont"/>
    <w:uiPriority w:val="1"/>
    <w:rsid w:val="00587374"/>
    <w:rPr>
      <w:rFonts w:ascii="Calibri" w:hAnsi="Calibri" w:hint="default"/>
      <w:b/>
      <w:bCs w:val="0"/>
      <w:color w:val="0070C0"/>
      <w:sz w:val="22"/>
      <w:u w:val="single"/>
    </w:rPr>
  </w:style>
  <w:style w:type="table" w:styleId="LightShading-Accent1">
    <w:name w:val="Light Shading Accent 1"/>
    <w:basedOn w:val="TableNormal"/>
    <w:uiPriority w:val="60"/>
    <w:rsid w:val="00587374"/>
    <w:pPr>
      <w:spacing w:after="0" w:line="240" w:lineRule="auto"/>
    </w:pPr>
    <w:rPr>
      <w:rFonts w:eastAsiaTheme="minorEastAsia"/>
      <w:color w:val="365F91" w:themeColor="accent1" w:themeShade="BF"/>
      <w:lang w:eastAsia="ja-JP"/>
    </w:rPr>
    <w:tblPr>
      <w:tblStyleRowBandSize w:val="1"/>
      <w:tblStyleColBandSize w:val="1"/>
      <w:tblInd w:w="0" w:type="nil"/>
      <w:tblBorders>
        <w:top w:val="single" w:sz="8" w:space="0" w:color="4F81BD" w:themeColor="accent1"/>
        <w:bottom w:val="single" w:sz="8" w:space="0" w:color="4F81BD" w:themeColor="accent1"/>
      </w:tblBorders>
    </w:tblPr>
    <w:tblStylePr w:type="firstRow">
      <w:pPr>
        <w:spacing w:beforeLines="0" w:before="100" w:beforeAutospacing="1" w:afterLines="0" w:after="100" w:afterAutospacing="1"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3">
    <w:name w:val="Light Shading Accent 3"/>
    <w:basedOn w:val="TableNormal"/>
    <w:uiPriority w:val="60"/>
    <w:rsid w:val="00587374"/>
    <w:pPr>
      <w:spacing w:after="0" w:line="240" w:lineRule="auto"/>
    </w:pPr>
    <w:rPr>
      <w:rFonts w:eastAsiaTheme="minorEastAsia"/>
      <w:color w:val="76923C" w:themeColor="accent3" w:themeShade="BF"/>
      <w:lang w:eastAsia="ja-JP"/>
    </w:rPr>
    <w:tblPr>
      <w:tblStyleRowBandSize w:val="1"/>
      <w:tblStyleColBandSize w:val="1"/>
      <w:tblInd w:w="0" w:type="nil"/>
      <w:tblBorders>
        <w:top w:val="single" w:sz="8" w:space="0" w:color="9BBB59" w:themeColor="accent3"/>
        <w:bottom w:val="single" w:sz="8" w:space="0" w:color="9BBB59" w:themeColor="accent3"/>
      </w:tblBorders>
    </w:tblPr>
    <w:tblStylePr w:type="firstRow">
      <w:pPr>
        <w:spacing w:beforeLines="0" w:before="100" w:beforeAutospacing="1" w:afterLines="0" w:after="100" w:afterAutospacing="1"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6">
    <w:name w:val="Light Shading Accent 6"/>
    <w:basedOn w:val="TableNormal"/>
    <w:uiPriority w:val="60"/>
    <w:rsid w:val="00587374"/>
    <w:pPr>
      <w:spacing w:after="0" w:line="240" w:lineRule="auto"/>
    </w:pPr>
    <w:rPr>
      <w:rFonts w:eastAsiaTheme="minorEastAsia"/>
      <w:color w:val="E36C0A" w:themeColor="accent6" w:themeShade="BF"/>
      <w:lang w:eastAsia="ja-JP"/>
    </w:rPr>
    <w:tblPr>
      <w:tblStyleRowBandSize w:val="1"/>
      <w:tblStyleColBandSize w:val="1"/>
      <w:tblInd w:w="0" w:type="nil"/>
      <w:tblBorders>
        <w:top w:val="single" w:sz="8" w:space="0" w:color="F79646" w:themeColor="accent6"/>
        <w:bottom w:val="single" w:sz="8" w:space="0" w:color="F79646" w:themeColor="accent6"/>
      </w:tblBorders>
    </w:tblPr>
    <w:tblStylePr w:type="firstRow">
      <w:pPr>
        <w:spacing w:beforeLines="0" w:before="100" w:beforeAutospacing="1" w:afterLines="0" w:after="100" w:afterAutospacing="1"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BalloonText">
    <w:name w:val="Balloon Text"/>
    <w:basedOn w:val="Normal"/>
    <w:link w:val="BalloonTextChar"/>
    <w:uiPriority w:val="99"/>
    <w:semiHidden/>
    <w:unhideWhenUsed/>
    <w:rsid w:val="0058737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7374"/>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semiHidden/>
    <w:unhideWhenUsed/>
    <w:rsid w:val="008E74C9"/>
    <w:rPr>
      <w:b/>
      <w:bCs/>
    </w:rPr>
  </w:style>
  <w:style w:type="character" w:customStyle="1" w:styleId="CommentSubjectChar">
    <w:name w:val="Comment Subject Char"/>
    <w:basedOn w:val="CommentTextChar"/>
    <w:link w:val="CommentSubject"/>
    <w:uiPriority w:val="99"/>
    <w:semiHidden/>
    <w:rsid w:val="008E74C9"/>
    <w:rPr>
      <w:rFonts w:eastAsiaTheme="minorEastAs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3723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hyperlink" Target="file:///S:\Measure%20Develop%20&amp;amp;%20Maint%20-%20Clinical\National%20Program%20Maintenance\Steward%20NQF\Endorsed%20Measures\Total%20Knee\2015%20Initial%20Endorsement\Template_MeasSubm_MeasTesting_MNCM%202653%20TKR.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S:\Measure%20Develop%20&amp;amp;%20Maint%20-%20Clinical\National%20Program%20Maintenance\Steward%20NQF\Endorsed%20Measures\Total%20Knee\2015%20Initial%20Endorsement\Template_MeasSubm_MeasTesting_MNCM%202653%20TKR.docx"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1493</Words>
  <Characters>8514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Jasmine Larson</dc:creator>
  <cp:lastModifiedBy>Jasmine Larson</cp:lastModifiedBy>
  <cp:revision>3</cp:revision>
  <dcterms:created xsi:type="dcterms:W3CDTF">2015-10-30T18:11:00Z</dcterms:created>
  <dcterms:modified xsi:type="dcterms:W3CDTF">2015-10-30T18:43:00Z</dcterms:modified>
</cp:coreProperties>
</file>